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80E79" w14:textId="59BFC52B" w:rsidR="00197740" w:rsidRPr="007A0138" w:rsidRDefault="007A0138" w:rsidP="007A0138">
      <w:pPr>
        <w:pStyle w:val="Bodycopy"/>
        <w:jc w:val="center"/>
        <w:rPr>
          <w:rFonts w:ascii="Calibri" w:hAnsi="Calibri" w:cs="Calibri"/>
          <w:sz w:val="22"/>
          <w:szCs w:val="22"/>
          <w:u w:val="single"/>
        </w:rPr>
      </w:pPr>
      <w:r w:rsidRPr="007A0138">
        <w:rPr>
          <w:rFonts w:ascii="Calibri" w:hAnsi="Calibri" w:cs="Calibri"/>
          <w:sz w:val="22"/>
          <w:szCs w:val="22"/>
          <w:u w:val="single"/>
        </w:rPr>
        <w:t xml:space="preserve">GSK &amp; </w:t>
      </w:r>
      <w:proofErr w:type="spellStart"/>
      <w:r w:rsidRPr="007A0138">
        <w:rPr>
          <w:rFonts w:ascii="Calibri" w:hAnsi="Calibri" w:cs="Calibri"/>
          <w:sz w:val="22"/>
          <w:szCs w:val="22"/>
          <w:u w:val="single"/>
        </w:rPr>
        <w:t>ViiV</w:t>
      </w:r>
      <w:proofErr w:type="spellEnd"/>
      <w:r w:rsidRPr="007A0138">
        <w:rPr>
          <w:rFonts w:ascii="Calibri" w:hAnsi="Calibri" w:cs="Calibri"/>
          <w:sz w:val="22"/>
          <w:szCs w:val="22"/>
          <w:u w:val="single"/>
        </w:rPr>
        <w:t xml:space="preserve"> Healthcare Australia Gender Pay Gap Explanatory Statement - 2024</w:t>
      </w:r>
    </w:p>
    <w:p w14:paraId="034BA743" w14:textId="77777777" w:rsidR="00E5310D" w:rsidRDefault="00E5310D" w:rsidP="007437B2">
      <w:pPr>
        <w:pStyle w:val="Bodycopy"/>
        <w:ind w:left="1134"/>
        <w:rPr>
          <w:rFonts w:cs="Arial"/>
        </w:rPr>
      </w:pPr>
    </w:p>
    <w:p w14:paraId="4ABC2B1A" w14:textId="194C1FCE" w:rsidR="00E5310D" w:rsidRPr="00E5310D" w:rsidRDefault="00E5310D" w:rsidP="00863836">
      <w:pPr>
        <w:jc w:val="both"/>
        <w:rPr>
          <w:rFonts w:ascii="Calibri" w:hAnsi="Calibri" w:cs="Calibri"/>
          <w:sz w:val="22"/>
          <w:szCs w:val="22"/>
        </w:rPr>
      </w:pPr>
      <w:r w:rsidRPr="00E5310D">
        <w:rPr>
          <w:rFonts w:ascii="Calibri" w:hAnsi="Calibri" w:cs="Calibri"/>
          <w:sz w:val="22"/>
          <w:szCs w:val="22"/>
        </w:rPr>
        <w:t xml:space="preserve">Fair pay is a key element of the GSK </w:t>
      </w:r>
      <w:r w:rsidR="00CF77B5">
        <w:rPr>
          <w:rFonts w:ascii="Calibri" w:hAnsi="Calibri" w:cs="Calibri"/>
          <w:sz w:val="22"/>
          <w:szCs w:val="22"/>
        </w:rPr>
        <w:t xml:space="preserve">and </w:t>
      </w:r>
      <w:proofErr w:type="spellStart"/>
      <w:r w:rsidR="00CF77B5">
        <w:rPr>
          <w:rFonts w:ascii="Calibri" w:hAnsi="Calibri" w:cs="Calibri"/>
          <w:sz w:val="22"/>
          <w:szCs w:val="22"/>
        </w:rPr>
        <w:t>ViiV</w:t>
      </w:r>
      <w:proofErr w:type="spellEnd"/>
      <w:r w:rsidR="00CF77B5">
        <w:rPr>
          <w:rFonts w:ascii="Calibri" w:hAnsi="Calibri" w:cs="Calibri"/>
          <w:sz w:val="22"/>
          <w:szCs w:val="22"/>
        </w:rPr>
        <w:t xml:space="preserve"> Healthcare </w:t>
      </w:r>
      <w:r w:rsidRPr="00E5310D">
        <w:rPr>
          <w:rFonts w:ascii="Calibri" w:hAnsi="Calibri" w:cs="Calibri"/>
          <w:sz w:val="22"/>
          <w:szCs w:val="22"/>
        </w:rPr>
        <w:t xml:space="preserve">culture.  </w:t>
      </w:r>
      <w:r w:rsidR="00A22E52">
        <w:rPr>
          <w:rFonts w:ascii="Calibri" w:hAnsi="Calibri" w:cs="Calibri"/>
          <w:sz w:val="22"/>
          <w:szCs w:val="22"/>
        </w:rPr>
        <w:t xml:space="preserve"> and we have strong systems in place </w:t>
      </w:r>
      <w:r w:rsidR="00762FBD">
        <w:rPr>
          <w:rFonts w:ascii="Calibri" w:hAnsi="Calibri" w:cs="Calibri"/>
          <w:sz w:val="22"/>
          <w:szCs w:val="22"/>
        </w:rPr>
        <w:t xml:space="preserve">to ensure that pay </w:t>
      </w:r>
      <w:r w:rsidRPr="00E5310D">
        <w:rPr>
          <w:rFonts w:ascii="Calibri" w:hAnsi="Calibri" w:cs="Calibri"/>
          <w:sz w:val="22"/>
          <w:szCs w:val="22"/>
        </w:rPr>
        <w:t>practices in all the countries we operate</w:t>
      </w:r>
      <w:r w:rsidR="00E730C8">
        <w:rPr>
          <w:rFonts w:ascii="Calibri" w:hAnsi="Calibri" w:cs="Calibri"/>
          <w:sz w:val="22"/>
          <w:szCs w:val="22"/>
        </w:rPr>
        <w:t>, ensuring our people receive fair and equitable pay and are rewarded for the work they do</w:t>
      </w:r>
      <w:r w:rsidR="00BF4EEB">
        <w:rPr>
          <w:rFonts w:ascii="Calibri" w:hAnsi="Calibri" w:cs="Calibri"/>
          <w:sz w:val="22"/>
          <w:szCs w:val="22"/>
        </w:rPr>
        <w:t xml:space="preserve"> </w:t>
      </w:r>
      <w:r w:rsidR="00762FBD">
        <w:rPr>
          <w:rFonts w:ascii="Calibri" w:hAnsi="Calibri" w:cs="Calibri"/>
          <w:sz w:val="22"/>
          <w:szCs w:val="22"/>
        </w:rPr>
        <w:t>reflect</w:t>
      </w:r>
      <w:r w:rsidR="00BF4EEB">
        <w:rPr>
          <w:rFonts w:ascii="Calibri" w:hAnsi="Calibri" w:cs="Calibri"/>
          <w:sz w:val="22"/>
          <w:szCs w:val="22"/>
        </w:rPr>
        <w:t>ing</w:t>
      </w:r>
      <w:r w:rsidR="00E71A4E">
        <w:rPr>
          <w:rFonts w:ascii="Calibri" w:hAnsi="Calibri" w:cs="Calibri"/>
          <w:sz w:val="22"/>
          <w:szCs w:val="22"/>
        </w:rPr>
        <w:t xml:space="preserve"> industry benchmarks</w:t>
      </w:r>
      <w:r w:rsidR="00BB605F">
        <w:rPr>
          <w:rFonts w:ascii="Calibri" w:hAnsi="Calibri" w:cs="Calibri"/>
          <w:sz w:val="22"/>
          <w:szCs w:val="22"/>
        </w:rPr>
        <w:t>, skills, performance and experience.</w:t>
      </w:r>
    </w:p>
    <w:p w14:paraId="42439FB7" w14:textId="77777777" w:rsidR="00E5310D" w:rsidRPr="00E5310D" w:rsidRDefault="00E5310D" w:rsidP="00863836">
      <w:pPr>
        <w:jc w:val="both"/>
        <w:rPr>
          <w:rFonts w:ascii="Calibri" w:hAnsi="Calibri" w:cs="Calibri"/>
          <w:sz w:val="22"/>
          <w:szCs w:val="22"/>
        </w:rPr>
      </w:pPr>
    </w:p>
    <w:p w14:paraId="2FCE53A5" w14:textId="40E62DA7" w:rsidR="00E5310D" w:rsidRPr="00E5310D" w:rsidRDefault="00EF3118" w:rsidP="0086383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 also</w:t>
      </w:r>
      <w:r w:rsidR="00BF4EEB">
        <w:rPr>
          <w:rFonts w:ascii="Calibri" w:hAnsi="Calibri" w:cs="Calibri"/>
          <w:sz w:val="22"/>
          <w:szCs w:val="22"/>
        </w:rPr>
        <w:t xml:space="preserve"> </w:t>
      </w:r>
      <w:r w:rsidR="00E5310D" w:rsidRPr="00E5310D">
        <w:rPr>
          <w:rFonts w:ascii="Calibri" w:hAnsi="Calibri" w:cs="Calibri"/>
          <w:sz w:val="22"/>
          <w:szCs w:val="22"/>
        </w:rPr>
        <w:t>support the increased transparency that comes through the publishing of company gender pay gap data in support of pay equity</w:t>
      </w:r>
      <w:r w:rsidR="00A2292A">
        <w:rPr>
          <w:rFonts w:ascii="Calibri" w:hAnsi="Calibri" w:cs="Calibri"/>
          <w:sz w:val="22"/>
          <w:szCs w:val="22"/>
        </w:rPr>
        <w:t>.</w:t>
      </w:r>
      <w:r w:rsidR="00BF4EEB">
        <w:rPr>
          <w:rFonts w:ascii="Calibri" w:hAnsi="Calibri" w:cs="Calibri"/>
          <w:sz w:val="22"/>
          <w:szCs w:val="22"/>
        </w:rPr>
        <w:t xml:space="preserve"> L</w:t>
      </w:r>
      <w:r w:rsidR="00EE7F1B">
        <w:rPr>
          <w:rFonts w:ascii="Calibri" w:hAnsi="Calibri" w:cs="Calibri"/>
          <w:sz w:val="22"/>
          <w:szCs w:val="22"/>
        </w:rPr>
        <w:t>ike many companies in Australia, we have work to do in this area.</w:t>
      </w:r>
      <w:r w:rsidR="00053F30">
        <w:rPr>
          <w:rFonts w:ascii="Calibri" w:hAnsi="Calibri" w:cs="Calibri"/>
          <w:sz w:val="22"/>
          <w:szCs w:val="22"/>
        </w:rPr>
        <w:t xml:space="preserve"> </w:t>
      </w:r>
    </w:p>
    <w:p w14:paraId="532B59D5" w14:textId="77777777" w:rsidR="00E5310D" w:rsidRPr="00E5310D" w:rsidRDefault="00E5310D" w:rsidP="00863836">
      <w:pPr>
        <w:jc w:val="both"/>
        <w:rPr>
          <w:rFonts w:ascii="Calibri" w:hAnsi="Calibri" w:cs="Calibri"/>
          <w:sz w:val="22"/>
          <w:szCs w:val="22"/>
        </w:rPr>
      </w:pPr>
    </w:p>
    <w:p w14:paraId="229DBD0F" w14:textId="6226159E" w:rsidR="00F277FC" w:rsidRPr="00E5310D" w:rsidRDefault="00E5310D" w:rsidP="00863836">
      <w:pPr>
        <w:jc w:val="both"/>
        <w:rPr>
          <w:rFonts w:ascii="Calibri" w:hAnsi="Calibri" w:cs="Calibri"/>
          <w:sz w:val="22"/>
          <w:szCs w:val="22"/>
        </w:rPr>
      </w:pPr>
      <w:r w:rsidRPr="00E5310D">
        <w:rPr>
          <w:rFonts w:ascii="Calibri" w:hAnsi="Calibri" w:cs="Calibri"/>
          <w:sz w:val="22"/>
          <w:szCs w:val="22"/>
        </w:rPr>
        <w:t>The 2022/23 reporting period was submitted at the time prior to the closure of our Boronia manufacturing site which ceased production in December 2022.  The</w:t>
      </w:r>
      <w:r w:rsidR="000C7311">
        <w:rPr>
          <w:rFonts w:ascii="Calibri" w:hAnsi="Calibri" w:cs="Calibri"/>
          <w:sz w:val="22"/>
          <w:szCs w:val="22"/>
        </w:rPr>
        <w:t>se</w:t>
      </w:r>
      <w:r w:rsidRPr="00E5310D">
        <w:rPr>
          <w:rFonts w:ascii="Calibri" w:hAnsi="Calibri" w:cs="Calibri"/>
          <w:sz w:val="22"/>
          <w:szCs w:val="22"/>
        </w:rPr>
        <w:t xml:space="preserve"> results should be read having regard to GSK </w:t>
      </w:r>
      <w:r w:rsidR="00996C23">
        <w:rPr>
          <w:rFonts w:ascii="Calibri" w:hAnsi="Calibri" w:cs="Calibri"/>
          <w:sz w:val="22"/>
          <w:szCs w:val="22"/>
        </w:rPr>
        <w:t xml:space="preserve">and </w:t>
      </w:r>
      <w:proofErr w:type="spellStart"/>
      <w:r w:rsidR="00996C23">
        <w:rPr>
          <w:rFonts w:ascii="Calibri" w:hAnsi="Calibri" w:cs="Calibri"/>
          <w:sz w:val="22"/>
          <w:szCs w:val="22"/>
        </w:rPr>
        <w:t>ViiV</w:t>
      </w:r>
      <w:proofErr w:type="spellEnd"/>
      <w:r w:rsidR="00996C23">
        <w:rPr>
          <w:rFonts w:ascii="Calibri" w:hAnsi="Calibri" w:cs="Calibri"/>
          <w:sz w:val="22"/>
          <w:szCs w:val="22"/>
        </w:rPr>
        <w:t xml:space="preserve"> Healthcare </w:t>
      </w:r>
      <w:r w:rsidRPr="00E5310D">
        <w:rPr>
          <w:rFonts w:ascii="Calibri" w:hAnsi="Calibri" w:cs="Calibri"/>
          <w:sz w:val="22"/>
          <w:szCs w:val="22"/>
        </w:rPr>
        <w:t xml:space="preserve">Australia having a commercial, R&amp;D and manufacturing employee population. </w:t>
      </w:r>
    </w:p>
    <w:p w14:paraId="56209353" w14:textId="77777777" w:rsidR="00E5310D" w:rsidRPr="00E5310D" w:rsidRDefault="00E5310D" w:rsidP="00E5310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CB49E3C" w14:textId="41222635" w:rsidR="00E5310D" w:rsidRPr="00E5310D" w:rsidRDefault="00E5310D" w:rsidP="00E5310D">
      <w:pPr>
        <w:rPr>
          <w:rFonts w:ascii="Calibri" w:hAnsi="Calibri" w:cs="Calibri"/>
          <w:b/>
          <w:bCs/>
          <w:color w:val="F36633" w:themeColor="text2"/>
          <w:sz w:val="22"/>
          <w:szCs w:val="22"/>
          <w:u w:val="single"/>
        </w:rPr>
      </w:pPr>
      <w:r w:rsidRPr="00E5310D">
        <w:rPr>
          <w:rFonts w:ascii="Calibri" w:hAnsi="Calibri" w:cs="Calibri"/>
          <w:b/>
          <w:bCs/>
          <w:color w:val="F36633" w:themeColor="text2"/>
          <w:sz w:val="22"/>
          <w:szCs w:val="22"/>
          <w:u w:val="single"/>
        </w:rPr>
        <w:t>What is the difference between gender pay and equal pay?</w:t>
      </w:r>
    </w:p>
    <w:p w14:paraId="0C2D9F24" w14:textId="77777777" w:rsidR="00E5310D" w:rsidRPr="00E5310D" w:rsidRDefault="00E5310D" w:rsidP="00E5310D">
      <w:pPr>
        <w:rPr>
          <w:rFonts w:ascii="Calibri" w:hAnsi="Calibri" w:cs="Calibri"/>
          <w:sz w:val="22"/>
          <w:szCs w:val="22"/>
        </w:rPr>
      </w:pPr>
    </w:p>
    <w:p w14:paraId="727FAB67" w14:textId="6F133310" w:rsidR="00E238E3" w:rsidRDefault="002B0680" w:rsidP="003652E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</w:t>
      </w:r>
      <w:r w:rsidR="00E5310D" w:rsidRPr="00E5310D">
        <w:rPr>
          <w:rFonts w:ascii="Calibri" w:hAnsi="Calibri" w:cs="Calibri"/>
          <w:sz w:val="22"/>
          <w:szCs w:val="22"/>
        </w:rPr>
        <w:t xml:space="preserve">Gender </w:t>
      </w:r>
      <w:proofErr w:type="gramStart"/>
      <w:r w:rsidR="00E5310D" w:rsidRPr="00E5310D">
        <w:rPr>
          <w:rFonts w:ascii="Calibri" w:hAnsi="Calibri" w:cs="Calibri"/>
          <w:sz w:val="22"/>
          <w:szCs w:val="22"/>
        </w:rPr>
        <w:t>pay</w:t>
      </w:r>
      <w:proofErr w:type="gramEnd"/>
      <w:r>
        <w:rPr>
          <w:rFonts w:ascii="Calibri" w:hAnsi="Calibri" w:cs="Calibri"/>
          <w:sz w:val="22"/>
          <w:szCs w:val="22"/>
        </w:rPr>
        <w:t>”</w:t>
      </w:r>
      <w:r w:rsidR="00E5310D" w:rsidRPr="00E5310D">
        <w:rPr>
          <w:rFonts w:ascii="Calibri" w:hAnsi="Calibri" w:cs="Calibri"/>
          <w:sz w:val="22"/>
          <w:szCs w:val="22"/>
        </w:rPr>
        <w:t xml:space="preserve"> is very different from </w:t>
      </w:r>
      <w:r>
        <w:rPr>
          <w:rFonts w:ascii="Calibri" w:hAnsi="Calibri" w:cs="Calibri"/>
          <w:sz w:val="22"/>
          <w:szCs w:val="22"/>
        </w:rPr>
        <w:t>“E</w:t>
      </w:r>
      <w:r w:rsidR="00E5310D" w:rsidRPr="00E5310D">
        <w:rPr>
          <w:rFonts w:ascii="Calibri" w:hAnsi="Calibri" w:cs="Calibri"/>
          <w:sz w:val="22"/>
          <w:szCs w:val="22"/>
        </w:rPr>
        <w:t xml:space="preserve">qual </w:t>
      </w:r>
      <w:r>
        <w:rPr>
          <w:rFonts w:ascii="Calibri" w:hAnsi="Calibri" w:cs="Calibri"/>
          <w:sz w:val="22"/>
          <w:szCs w:val="22"/>
        </w:rPr>
        <w:t>P</w:t>
      </w:r>
      <w:r w:rsidR="00E5310D" w:rsidRPr="00E5310D">
        <w:rPr>
          <w:rFonts w:ascii="Calibri" w:hAnsi="Calibri" w:cs="Calibri"/>
          <w:sz w:val="22"/>
          <w:szCs w:val="22"/>
        </w:rPr>
        <w:t>ay</w:t>
      </w:r>
      <w:r>
        <w:rPr>
          <w:rFonts w:ascii="Calibri" w:hAnsi="Calibri" w:cs="Calibri"/>
          <w:sz w:val="22"/>
          <w:szCs w:val="22"/>
        </w:rPr>
        <w:t>”</w:t>
      </w:r>
      <w:r w:rsidR="00E5310D" w:rsidRPr="00E5310D">
        <w:rPr>
          <w:rFonts w:ascii="Calibri" w:hAnsi="Calibri" w:cs="Calibri"/>
          <w:sz w:val="22"/>
          <w:szCs w:val="22"/>
        </w:rPr>
        <w:t xml:space="preserve">. Although these terms sound similar, they are often confused, so it’s very important to distinguish them. </w:t>
      </w:r>
    </w:p>
    <w:p w14:paraId="67FC31F3" w14:textId="77777777" w:rsidR="00E238E3" w:rsidRDefault="00E238E3" w:rsidP="003652E9">
      <w:pPr>
        <w:jc w:val="both"/>
        <w:rPr>
          <w:rFonts w:ascii="Calibri" w:hAnsi="Calibri" w:cs="Calibri"/>
          <w:sz w:val="22"/>
          <w:szCs w:val="22"/>
        </w:rPr>
      </w:pPr>
    </w:p>
    <w:p w14:paraId="33213C56" w14:textId="6659BF5D" w:rsidR="00E238E3" w:rsidRDefault="002B0680" w:rsidP="003652E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</w:t>
      </w:r>
      <w:r w:rsidR="00E238E3">
        <w:rPr>
          <w:rFonts w:ascii="Calibri" w:hAnsi="Calibri" w:cs="Calibri"/>
          <w:sz w:val="22"/>
          <w:szCs w:val="22"/>
        </w:rPr>
        <w:t>Equal Pay</w:t>
      </w:r>
      <w:r>
        <w:rPr>
          <w:rFonts w:ascii="Calibri" w:hAnsi="Calibri" w:cs="Calibri"/>
          <w:sz w:val="22"/>
          <w:szCs w:val="22"/>
        </w:rPr>
        <w:t>”</w:t>
      </w:r>
      <w:r w:rsidR="00E238E3">
        <w:rPr>
          <w:rFonts w:ascii="Calibri" w:hAnsi="Calibri" w:cs="Calibri"/>
          <w:sz w:val="22"/>
          <w:szCs w:val="22"/>
        </w:rPr>
        <w:t xml:space="preserve"> is </w:t>
      </w:r>
      <w:r w:rsidR="009E7384">
        <w:rPr>
          <w:rFonts w:ascii="Calibri" w:hAnsi="Calibri" w:cs="Calibri"/>
          <w:sz w:val="22"/>
          <w:szCs w:val="22"/>
        </w:rPr>
        <w:t xml:space="preserve">achieved </w:t>
      </w:r>
      <w:r w:rsidR="005C6C11">
        <w:rPr>
          <w:rFonts w:ascii="Calibri" w:hAnsi="Calibri" w:cs="Calibri"/>
          <w:sz w:val="22"/>
          <w:szCs w:val="22"/>
        </w:rPr>
        <w:t xml:space="preserve">through a consistent </w:t>
      </w:r>
      <w:r w:rsidR="009E7384">
        <w:rPr>
          <w:rFonts w:ascii="Calibri" w:hAnsi="Calibri" w:cs="Calibri"/>
          <w:sz w:val="22"/>
          <w:szCs w:val="22"/>
        </w:rPr>
        <w:t>us</w:t>
      </w:r>
      <w:r w:rsidR="005C6C11">
        <w:rPr>
          <w:rFonts w:ascii="Calibri" w:hAnsi="Calibri" w:cs="Calibri"/>
          <w:sz w:val="22"/>
          <w:szCs w:val="22"/>
        </w:rPr>
        <w:t>e of</w:t>
      </w:r>
      <w:r w:rsidR="009E7384">
        <w:rPr>
          <w:rFonts w:ascii="Calibri" w:hAnsi="Calibri" w:cs="Calibri"/>
          <w:sz w:val="22"/>
          <w:szCs w:val="22"/>
        </w:rPr>
        <w:t xml:space="preserve"> salary benchmark data </w:t>
      </w:r>
      <w:r w:rsidR="005C6C11">
        <w:rPr>
          <w:rFonts w:ascii="Calibri" w:hAnsi="Calibri" w:cs="Calibri"/>
          <w:sz w:val="22"/>
          <w:szCs w:val="22"/>
        </w:rPr>
        <w:t>and other factors like experience, performance and market forces to determine salary</w:t>
      </w:r>
      <w:r w:rsidR="00891203">
        <w:rPr>
          <w:rFonts w:ascii="Calibri" w:hAnsi="Calibri" w:cs="Calibri"/>
          <w:sz w:val="22"/>
          <w:szCs w:val="22"/>
        </w:rPr>
        <w:t xml:space="preserve"> for roles</w:t>
      </w:r>
      <w:r w:rsidR="0016716F">
        <w:rPr>
          <w:rFonts w:ascii="Calibri" w:hAnsi="Calibri" w:cs="Calibri"/>
          <w:sz w:val="22"/>
          <w:szCs w:val="22"/>
        </w:rPr>
        <w:t>,</w:t>
      </w:r>
      <w:r w:rsidR="0027590B">
        <w:rPr>
          <w:rFonts w:ascii="Calibri" w:hAnsi="Calibri" w:cs="Calibri"/>
          <w:sz w:val="22"/>
          <w:szCs w:val="22"/>
        </w:rPr>
        <w:t xml:space="preserve"> none of which consider individual characteristics such as gender.</w:t>
      </w:r>
    </w:p>
    <w:p w14:paraId="36B9DF35" w14:textId="77777777" w:rsidR="00E5310D" w:rsidRDefault="00E5310D" w:rsidP="003652E9">
      <w:pPr>
        <w:jc w:val="both"/>
        <w:rPr>
          <w:rFonts w:ascii="Calibri" w:hAnsi="Calibri" w:cs="Calibri"/>
          <w:sz w:val="22"/>
          <w:szCs w:val="22"/>
        </w:rPr>
      </w:pPr>
    </w:p>
    <w:p w14:paraId="228BBDE0" w14:textId="7E00007C" w:rsidR="00E5310D" w:rsidRPr="00E5310D" w:rsidRDefault="002B0680" w:rsidP="003652E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“G</w:t>
      </w:r>
      <w:r w:rsidR="00E5310D" w:rsidRPr="00E5310D">
        <w:rPr>
          <w:rFonts w:ascii="Calibri" w:hAnsi="Calibri" w:cs="Calibri"/>
          <w:sz w:val="22"/>
          <w:szCs w:val="22"/>
        </w:rPr>
        <w:t xml:space="preserve">ender </w:t>
      </w:r>
      <w:r>
        <w:rPr>
          <w:rFonts w:ascii="Calibri" w:hAnsi="Calibri" w:cs="Calibri"/>
          <w:sz w:val="22"/>
          <w:szCs w:val="22"/>
        </w:rPr>
        <w:t>P</w:t>
      </w:r>
      <w:r w:rsidR="00E5310D" w:rsidRPr="00E5310D">
        <w:rPr>
          <w:rFonts w:ascii="Calibri" w:hAnsi="Calibri" w:cs="Calibri"/>
          <w:sz w:val="22"/>
          <w:szCs w:val="22"/>
        </w:rPr>
        <w:t>ay</w:t>
      </w:r>
      <w:r>
        <w:rPr>
          <w:rFonts w:ascii="Calibri" w:hAnsi="Calibri" w:cs="Calibri"/>
          <w:sz w:val="22"/>
          <w:szCs w:val="22"/>
        </w:rPr>
        <w:t>”</w:t>
      </w:r>
      <w:r w:rsidR="00E5310D" w:rsidRPr="00E5310D">
        <w:rPr>
          <w:rFonts w:ascii="Calibri" w:hAnsi="Calibri" w:cs="Calibri"/>
          <w:sz w:val="22"/>
          <w:szCs w:val="22"/>
        </w:rPr>
        <w:t xml:space="preserve"> is calculated as the difference between the rate of pay of male employees and that of female employees. It is expressed as a percentage of the rate of pay of male employees which is referred to as the gender pay gap. It is a measure across all our jobs in Australia, not of the difference in pay between men and women for doing the same job. Gender </w:t>
      </w:r>
      <w:proofErr w:type="gramStart"/>
      <w:r w:rsidR="00E5310D" w:rsidRPr="00E5310D">
        <w:rPr>
          <w:rFonts w:ascii="Calibri" w:hAnsi="Calibri" w:cs="Calibri"/>
          <w:sz w:val="22"/>
          <w:szCs w:val="22"/>
        </w:rPr>
        <w:t>pay</w:t>
      </w:r>
      <w:proofErr w:type="gramEnd"/>
      <w:r w:rsidR="00E5310D" w:rsidRPr="00E5310D">
        <w:rPr>
          <w:rFonts w:ascii="Calibri" w:hAnsi="Calibri" w:cs="Calibri"/>
          <w:sz w:val="22"/>
          <w:szCs w:val="22"/>
        </w:rPr>
        <w:t xml:space="preserve"> gap analysis looks across the workforce without regard for the specific roles, experience, performance or grade levels of employees.  </w:t>
      </w:r>
    </w:p>
    <w:p w14:paraId="304EC4A0" w14:textId="77777777" w:rsidR="003652E9" w:rsidRDefault="003652E9" w:rsidP="003652E9">
      <w:pPr>
        <w:jc w:val="both"/>
        <w:rPr>
          <w:rFonts w:ascii="Calibri" w:hAnsi="Calibri" w:cs="Calibri"/>
          <w:sz w:val="22"/>
          <w:szCs w:val="22"/>
        </w:rPr>
      </w:pPr>
    </w:p>
    <w:p w14:paraId="65FFF771" w14:textId="00D2C150" w:rsidR="00E5310D" w:rsidRPr="00E5310D" w:rsidRDefault="00E5310D" w:rsidP="003652E9">
      <w:pPr>
        <w:jc w:val="both"/>
        <w:rPr>
          <w:rFonts w:ascii="Calibri" w:hAnsi="Calibri" w:cs="Calibri"/>
          <w:sz w:val="22"/>
          <w:szCs w:val="22"/>
        </w:rPr>
      </w:pPr>
      <w:r w:rsidRPr="00E5310D">
        <w:rPr>
          <w:rFonts w:ascii="Calibri" w:hAnsi="Calibri" w:cs="Calibri"/>
          <w:sz w:val="22"/>
          <w:szCs w:val="22"/>
        </w:rPr>
        <w:t>The GSK</w:t>
      </w:r>
      <w:r w:rsidR="00882827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="00882827">
        <w:rPr>
          <w:rFonts w:ascii="Calibri" w:hAnsi="Calibri" w:cs="Calibri"/>
          <w:sz w:val="22"/>
          <w:szCs w:val="22"/>
        </w:rPr>
        <w:t>ViiV</w:t>
      </w:r>
      <w:proofErr w:type="spellEnd"/>
      <w:r w:rsidR="00882827">
        <w:rPr>
          <w:rFonts w:ascii="Calibri" w:hAnsi="Calibri" w:cs="Calibri"/>
          <w:sz w:val="22"/>
          <w:szCs w:val="22"/>
        </w:rPr>
        <w:t xml:space="preserve"> Healthcare</w:t>
      </w:r>
      <w:r w:rsidRPr="00E5310D">
        <w:rPr>
          <w:rFonts w:ascii="Calibri" w:hAnsi="Calibri" w:cs="Calibri"/>
          <w:sz w:val="22"/>
          <w:szCs w:val="22"/>
        </w:rPr>
        <w:t xml:space="preserve"> Australia gender pay gap for the 2022-23 reporting period is explained largely by differences in representation during the reporting period at each level of the organisation, in</w:t>
      </w:r>
      <w:r w:rsidR="00E82BCC">
        <w:rPr>
          <w:rFonts w:ascii="Calibri" w:hAnsi="Calibri" w:cs="Calibri"/>
          <w:sz w:val="22"/>
          <w:szCs w:val="22"/>
        </w:rPr>
        <w:t xml:space="preserve"> </w:t>
      </w:r>
      <w:r w:rsidRPr="00E5310D">
        <w:rPr>
          <w:rFonts w:ascii="Calibri" w:hAnsi="Calibri" w:cs="Calibri"/>
          <w:sz w:val="22"/>
          <w:szCs w:val="22"/>
        </w:rPr>
        <w:t xml:space="preserve">particular the </w:t>
      </w:r>
      <w:r w:rsidR="00E82BCC">
        <w:rPr>
          <w:rFonts w:ascii="Calibri" w:hAnsi="Calibri" w:cs="Calibri"/>
          <w:sz w:val="22"/>
          <w:szCs w:val="22"/>
        </w:rPr>
        <w:t xml:space="preserve">high </w:t>
      </w:r>
      <w:r w:rsidR="00B305E1">
        <w:rPr>
          <w:rFonts w:ascii="Calibri" w:hAnsi="Calibri" w:cs="Calibri"/>
          <w:sz w:val="22"/>
          <w:szCs w:val="22"/>
        </w:rPr>
        <w:t>proportion</w:t>
      </w:r>
      <w:r w:rsidRPr="00E5310D">
        <w:rPr>
          <w:rFonts w:ascii="Calibri" w:hAnsi="Calibri" w:cs="Calibri"/>
          <w:sz w:val="22"/>
          <w:szCs w:val="22"/>
        </w:rPr>
        <w:t xml:space="preserve"> of women </w:t>
      </w:r>
      <w:r w:rsidR="00E82BCC">
        <w:rPr>
          <w:rFonts w:ascii="Calibri" w:hAnsi="Calibri" w:cs="Calibri"/>
          <w:sz w:val="22"/>
          <w:szCs w:val="22"/>
        </w:rPr>
        <w:t xml:space="preserve">overall in GSK and </w:t>
      </w:r>
      <w:r w:rsidRPr="00E5310D">
        <w:rPr>
          <w:rFonts w:ascii="Calibri" w:hAnsi="Calibri" w:cs="Calibri"/>
          <w:sz w:val="22"/>
          <w:szCs w:val="22"/>
        </w:rPr>
        <w:t>at the mid-management and professional levels of the organisation</w:t>
      </w:r>
      <w:r w:rsidR="00E82BCC">
        <w:rPr>
          <w:rFonts w:ascii="Calibri" w:hAnsi="Calibri" w:cs="Calibri"/>
          <w:sz w:val="22"/>
          <w:szCs w:val="22"/>
        </w:rPr>
        <w:t>, with a more even balance</w:t>
      </w:r>
      <w:r w:rsidR="006551FD">
        <w:rPr>
          <w:rFonts w:ascii="Calibri" w:hAnsi="Calibri" w:cs="Calibri"/>
          <w:sz w:val="22"/>
          <w:szCs w:val="22"/>
        </w:rPr>
        <w:t xml:space="preserve"> at senior levels.</w:t>
      </w:r>
    </w:p>
    <w:p w14:paraId="27C48551" w14:textId="77777777" w:rsidR="00E5310D" w:rsidRDefault="00E5310D" w:rsidP="00E5310D">
      <w:pPr>
        <w:rPr>
          <w:rFonts w:ascii="Calibri" w:hAnsi="Calibri" w:cs="Calibri"/>
          <w:sz w:val="22"/>
          <w:szCs w:val="22"/>
        </w:rPr>
      </w:pPr>
    </w:p>
    <w:p w14:paraId="42C680C7" w14:textId="77777777" w:rsidR="001F1D8D" w:rsidRPr="00E5310D" w:rsidRDefault="001F1D8D" w:rsidP="00E5310D">
      <w:pPr>
        <w:rPr>
          <w:rFonts w:ascii="Calibri" w:hAnsi="Calibri" w:cs="Calibri"/>
          <w:sz w:val="22"/>
          <w:szCs w:val="22"/>
        </w:rPr>
      </w:pPr>
    </w:p>
    <w:p w14:paraId="393B310B" w14:textId="77777777" w:rsidR="00E5310D" w:rsidRPr="00E5310D" w:rsidRDefault="00E5310D" w:rsidP="00E5310D">
      <w:pPr>
        <w:rPr>
          <w:rFonts w:ascii="Calibri" w:hAnsi="Calibri" w:cs="Calibri"/>
          <w:b/>
          <w:bCs/>
          <w:color w:val="F36633" w:themeColor="text2"/>
          <w:sz w:val="22"/>
          <w:szCs w:val="22"/>
          <w:u w:val="single"/>
        </w:rPr>
      </w:pPr>
      <w:r w:rsidRPr="00E5310D">
        <w:rPr>
          <w:rFonts w:ascii="Calibri" w:hAnsi="Calibri" w:cs="Calibri"/>
          <w:b/>
          <w:bCs/>
          <w:color w:val="F36633" w:themeColor="text2"/>
          <w:sz w:val="22"/>
          <w:szCs w:val="22"/>
          <w:u w:val="single"/>
        </w:rPr>
        <w:t>Gender Pay Gap Over time – Median Measures</w:t>
      </w:r>
    </w:p>
    <w:p w14:paraId="163A0F99" w14:textId="77777777" w:rsidR="00E5310D" w:rsidRDefault="00E5310D" w:rsidP="00E5310D">
      <w:pPr>
        <w:rPr>
          <w:rFonts w:ascii="Calibri" w:hAnsi="Calibri" w:cs="Calibri"/>
          <w:i/>
          <w:iCs/>
          <w:sz w:val="22"/>
          <w:szCs w:val="22"/>
        </w:rPr>
      </w:pPr>
    </w:p>
    <w:p w14:paraId="2ED54AD0" w14:textId="13B4B2BF" w:rsidR="00E5310D" w:rsidRPr="00E5310D" w:rsidRDefault="00E5310D" w:rsidP="00E5310D">
      <w:pPr>
        <w:rPr>
          <w:rFonts w:ascii="Calibri" w:hAnsi="Calibri" w:cs="Calibri"/>
          <w:i/>
          <w:iCs/>
          <w:sz w:val="18"/>
          <w:szCs w:val="18"/>
        </w:rPr>
      </w:pPr>
      <w:r w:rsidRPr="00E5310D">
        <w:rPr>
          <w:rFonts w:ascii="Calibri" w:hAnsi="Calibri" w:cs="Calibri"/>
          <w:i/>
          <w:iCs/>
          <w:sz w:val="18"/>
          <w:szCs w:val="18"/>
        </w:rPr>
        <w:t>A positive percentage indicates a pay gap in favour of men.</w:t>
      </w:r>
    </w:p>
    <w:p w14:paraId="47A3E2E8" w14:textId="77777777" w:rsidR="00E5310D" w:rsidRPr="00E5310D" w:rsidRDefault="00E5310D" w:rsidP="00E5310D">
      <w:pPr>
        <w:rPr>
          <w:rFonts w:ascii="Calibri" w:hAnsi="Calibri" w:cs="Calibri"/>
          <w:i/>
          <w:iCs/>
          <w:sz w:val="18"/>
          <w:szCs w:val="18"/>
        </w:rPr>
      </w:pPr>
      <w:r w:rsidRPr="00E5310D">
        <w:rPr>
          <w:rFonts w:ascii="Calibri" w:hAnsi="Calibri" w:cs="Calibri"/>
          <w:i/>
          <w:iCs/>
          <w:sz w:val="18"/>
          <w:szCs w:val="18"/>
        </w:rPr>
        <w:t>Total Remuneration includes base salary, superannuation, bonus, allowances, one-time payments and long-term incentives.</w:t>
      </w:r>
    </w:p>
    <w:p w14:paraId="43B1A80F" w14:textId="77777777" w:rsidR="00E5310D" w:rsidRPr="00E5310D" w:rsidRDefault="00E5310D" w:rsidP="00E5310D">
      <w:pPr>
        <w:rPr>
          <w:rFonts w:ascii="Calibri" w:hAnsi="Calibri" w:cs="Calibri"/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1433"/>
        <w:gridCol w:w="1860"/>
        <w:gridCol w:w="1860"/>
      </w:tblGrid>
      <w:tr w:rsidR="00E5310D" w:rsidRPr="00E5310D" w14:paraId="73598EDD" w14:textId="77777777">
        <w:tc>
          <w:tcPr>
            <w:tcW w:w="2830" w:type="dxa"/>
          </w:tcPr>
          <w:p w14:paraId="7544B3D9" w14:textId="77777777" w:rsidR="00E5310D" w:rsidRPr="00E5310D" w:rsidRDefault="00E5310D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_Hlk159851747"/>
            <w:r w:rsidRPr="00E5310D">
              <w:rPr>
                <w:rFonts w:ascii="Calibri" w:hAnsi="Calibri" w:cs="Calibri"/>
                <w:sz w:val="22"/>
                <w:szCs w:val="22"/>
              </w:rPr>
              <w:t>All Employees</w:t>
            </w:r>
          </w:p>
        </w:tc>
        <w:tc>
          <w:tcPr>
            <w:tcW w:w="1678" w:type="dxa"/>
          </w:tcPr>
          <w:p w14:paraId="67B4764E" w14:textId="77777777" w:rsidR="00E5310D" w:rsidRPr="00E5310D" w:rsidRDefault="00E5310D">
            <w:pPr>
              <w:rPr>
                <w:rFonts w:ascii="Calibri" w:hAnsi="Calibri" w:cs="Calibri"/>
                <w:sz w:val="22"/>
                <w:szCs w:val="22"/>
              </w:rPr>
            </w:pPr>
            <w:r w:rsidRPr="00E5310D">
              <w:rPr>
                <w:rFonts w:ascii="Calibri" w:hAnsi="Calibri" w:cs="Calibri"/>
                <w:sz w:val="22"/>
                <w:szCs w:val="22"/>
              </w:rPr>
              <w:t>2020-2021</w:t>
            </w:r>
          </w:p>
        </w:tc>
        <w:tc>
          <w:tcPr>
            <w:tcW w:w="2254" w:type="dxa"/>
          </w:tcPr>
          <w:p w14:paraId="112B6C86" w14:textId="77777777" w:rsidR="00E5310D" w:rsidRPr="00E5310D" w:rsidRDefault="00E5310D">
            <w:pPr>
              <w:rPr>
                <w:rFonts w:ascii="Calibri" w:hAnsi="Calibri" w:cs="Calibri"/>
                <w:sz w:val="22"/>
                <w:szCs w:val="22"/>
              </w:rPr>
            </w:pPr>
            <w:r w:rsidRPr="00E5310D">
              <w:rPr>
                <w:rFonts w:ascii="Calibri" w:hAnsi="Calibri" w:cs="Calibri"/>
                <w:sz w:val="22"/>
                <w:szCs w:val="22"/>
              </w:rPr>
              <w:t>2021-2022</w:t>
            </w:r>
          </w:p>
        </w:tc>
        <w:tc>
          <w:tcPr>
            <w:tcW w:w="2254" w:type="dxa"/>
          </w:tcPr>
          <w:p w14:paraId="49EF1085" w14:textId="77777777" w:rsidR="00E5310D" w:rsidRPr="00E5310D" w:rsidRDefault="00E5310D">
            <w:pPr>
              <w:rPr>
                <w:rFonts w:ascii="Calibri" w:hAnsi="Calibri" w:cs="Calibri"/>
                <w:sz w:val="22"/>
                <w:szCs w:val="22"/>
              </w:rPr>
            </w:pPr>
            <w:r w:rsidRPr="00E5310D">
              <w:rPr>
                <w:rFonts w:ascii="Calibri" w:hAnsi="Calibri" w:cs="Calibri"/>
                <w:sz w:val="22"/>
                <w:szCs w:val="22"/>
              </w:rPr>
              <w:t>2022-2023</w:t>
            </w:r>
          </w:p>
        </w:tc>
      </w:tr>
      <w:tr w:rsidR="00E5310D" w:rsidRPr="00E5310D" w14:paraId="7B5129C8" w14:textId="77777777">
        <w:tc>
          <w:tcPr>
            <w:tcW w:w="2830" w:type="dxa"/>
          </w:tcPr>
          <w:p w14:paraId="4DCA983D" w14:textId="77777777" w:rsidR="00E5310D" w:rsidRPr="00E5310D" w:rsidRDefault="00E5310D">
            <w:pPr>
              <w:rPr>
                <w:rFonts w:ascii="Calibri" w:hAnsi="Calibri" w:cs="Calibri"/>
                <w:sz w:val="22"/>
                <w:szCs w:val="22"/>
              </w:rPr>
            </w:pPr>
            <w:r w:rsidRPr="00E5310D">
              <w:rPr>
                <w:rFonts w:ascii="Calibri" w:hAnsi="Calibri" w:cs="Calibri"/>
                <w:sz w:val="22"/>
                <w:szCs w:val="22"/>
              </w:rPr>
              <w:t>Median Total Remuneration</w:t>
            </w:r>
          </w:p>
        </w:tc>
        <w:tc>
          <w:tcPr>
            <w:tcW w:w="1678" w:type="dxa"/>
          </w:tcPr>
          <w:p w14:paraId="703F41FC" w14:textId="77777777" w:rsidR="00E5310D" w:rsidRPr="00E5310D" w:rsidRDefault="00E5310D">
            <w:pPr>
              <w:rPr>
                <w:rFonts w:ascii="Calibri" w:hAnsi="Calibri" w:cs="Calibri"/>
                <w:sz w:val="22"/>
                <w:szCs w:val="22"/>
              </w:rPr>
            </w:pPr>
            <w:r w:rsidRPr="00E5310D">
              <w:rPr>
                <w:rFonts w:ascii="Calibri" w:hAnsi="Calibri" w:cs="Calibri"/>
                <w:sz w:val="22"/>
                <w:szCs w:val="22"/>
              </w:rPr>
              <w:t>8.6%</w:t>
            </w:r>
          </w:p>
        </w:tc>
        <w:tc>
          <w:tcPr>
            <w:tcW w:w="2254" w:type="dxa"/>
          </w:tcPr>
          <w:p w14:paraId="45D35AFB" w14:textId="77777777" w:rsidR="00E5310D" w:rsidRPr="00E5310D" w:rsidRDefault="00E5310D">
            <w:pPr>
              <w:rPr>
                <w:rFonts w:ascii="Calibri" w:hAnsi="Calibri" w:cs="Calibri"/>
                <w:sz w:val="22"/>
                <w:szCs w:val="22"/>
              </w:rPr>
            </w:pPr>
            <w:r w:rsidRPr="00E5310D">
              <w:rPr>
                <w:rFonts w:ascii="Calibri" w:hAnsi="Calibri" w:cs="Calibri"/>
                <w:sz w:val="22"/>
                <w:szCs w:val="22"/>
              </w:rPr>
              <w:t>7.0%</w:t>
            </w:r>
          </w:p>
        </w:tc>
        <w:tc>
          <w:tcPr>
            <w:tcW w:w="2254" w:type="dxa"/>
          </w:tcPr>
          <w:p w14:paraId="58562187" w14:textId="77777777" w:rsidR="00E5310D" w:rsidRPr="00E5310D" w:rsidRDefault="00E5310D">
            <w:pPr>
              <w:rPr>
                <w:rFonts w:ascii="Calibri" w:hAnsi="Calibri" w:cs="Calibri"/>
                <w:sz w:val="22"/>
                <w:szCs w:val="22"/>
              </w:rPr>
            </w:pPr>
            <w:r w:rsidRPr="00E5310D">
              <w:rPr>
                <w:rFonts w:ascii="Calibri" w:hAnsi="Calibri" w:cs="Calibri"/>
                <w:sz w:val="22"/>
                <w:szCs w:val="22"/>
              </w:rPr>
              <w:t>7.9%</w:t>
            </w:r>
          </w:p>
        </w:tc>
      </w:tr>
      <w:tr w:rsidR="00E5310D" w:rsidRPr="00E5310D" w14:paraId="4327947B" w14:textId="77777777">
        <w:tc>
          <w:tcPr>
            <w:tcW w:w="2830" w:type="dxa"/>
          </w:tcPr>
          <w:p w14:paraId="73BCD384" w14:textId="77777777" w:rsidR="00E5310D" w:rsidRPr="00E5310D" w:rsidRDefault="00E5310D">
            <w:pPr>
              <w:rPr>
                <w:rFonts w:ascii="Calibri" w:hAnsi="Calibri" w:cs="Calibri"/>
                <w:sz w:val="22"/>
                <w:szCs w:val="22"/>
              </w:rPr>
            </w:pPr>
            <w:r w:rsidRPr="00E5310D">
              <w:rPr>
                <w:rFonts w:ascii="Calibri" w:hAnsi="Calibri" w:cs="Calibri"/>
                <w:sz w:val="22"/>
                <w:szCs w:val="22"/>
              </w:rPr>
              <w:t xml:space="preserve">Median Base Salary </w:t>
            </w:r>
          </w:p>
        </w:tc>
        <w:tc>
          <w:tcPr>
            <w:tcW w:w="1678" w:type="dxa"/>
          </w:tcPr>
          <w:p w14:paraId="2E0B6484" w14:textId="77777777" w:rsidR="00E5310D" w:rsidRPr="00E5310D" w:rsidRDefault="00E5310D">
            <w:pPr>
              <w:rPr>
                <w:rFonts w:ascii="Calibri" w:hAnsi="Calibri" w:cs="Calibri"/>
                <w:sz w:val="22"/>
                <w:szCs w:val="22"/>
              </w:rPr>
            </w:pPr>
            <w:r w:rsidRPr="00E5310D">
              <w:rPr>
                <w:rFonts w:ascii="Calibri" w:hAnsi="Calibri" w:cs="Calibri"/>
                <w:sz w:val="22"/>
                <w:szCs w:val="22"/>
              </w:rPr>
              <w:t>7.3%</w:t>
            </w:r>
          </w:p>
        </w:tc>
        <w:tc>
          <w:tcPr>
            <w:tcW w:w="2254" w:type="dxa"/>
          </w:tcPr>
          <w:p w14:paraId="061BF5A5" w14:textId="77777777" w:rsidR="00E5310D" w:rsidRPr="00E5310D" w:rsidRDefault="00E5310D">
            <w:pPr>
              <w:rPr>
                <w:rFonts w:ascii="Calibri" w:hAnsi="Calibri" w:cs="Calibri"/>
                <w:sz w:val="22"/>
                <w:szCs w:val="22"/>
              </w:rPr>
            </w:pPr>
            <w:r w:rsidRPr="00E5310D">
              <w:rPr>
                <w:rFonts w:ascii="Calibri" w:hAnsi="Calibri" w:cs="Calibri"/>
                <w:sz w:val="22"/>
                <w:szCs w:val="22"/>
              </w:rPr>
              <w:t>4.7%</w:t>
            </w:r>
          </w:p>
        </w:tc>
        <w:tc>
          <w:tcPr>
            <w:tcW w:w="2254" w:type="dxa"/>
          </w:tcPr>
          <w:p w14:paraId="79AB7EAC" w14:textId="77777777" w:rsidR="00E5310D" w:rsidRPr="00E5310D" w:rsidRDefault="00E5310D">
            <w:pPr>
              <w:rPr>
                <w:rFonts w:ascii="Calibri" w:hAnsi="Calibri" w:cs="Calibri"/>
                <w:sz w:val="22"/>
                <w:szCs w:val="22"/>
              </w:rPr>
            </w:pPr>
            <w:r w:rsidRPr="00E5310D">
              <w:rPr>
                <w:rFonts w:ascii="Calibri" w:hAnsi="Calibri" w:cs="Calibri"/>
                <w:sz w:val="22"/>
                <w:szCs w:val="22"/>
              </w:rPr>
              <w:t>3.5%</w:t>
            </w:r>
          </w:p>
        </w:tc>
      </w:tr>
      <w:bookmarkEnd w:id="0"/>
    </w:tbl>
    <w:p w14:paraId="6078003C" w14:textId="77777777" w:rsidR="00E5310D" w:rsidRPr="00E5310D" w:rsidRDefault="00E5310D" w:rsidP="00E5310D">
      <w:pPr>
        <w:rPr>
          <w:rFonts w:ascii="Calibri" w:hAnsi="Calibri" w:cs="Calibri"/>
          <w:sz w:val="22"/>
          <w:szCs w:val="22"/>
        </w:rPr>
      </w:pPr>
    </w:p>
    <w:p w14:paraId="76ADD78F" w14:textId="3F5BB544" w:rsidR="00E5310D" w:rsidRDefault="00E5310D" w:rsidP="003652E9">
      <w:pPr>
        <w:jc w:val="both"/>
        <w:rPr>
          <w:rFonts w:ascii="Calibri" w:hAnsi="Calibri" w:cs="Calibri"/>
          <w:sz w:val="22"/>
          <w:szCs w:val="22"/>
        </w:rPr>
      </w:pPr>
      <w:r w:rsidRPr="00E5310D">
        <w:rPr>
          <w:rFonts w:ascii="Calibri" w:hAnsi="Calibri" w:cs="Calibri"/>
          <w:sz w:val="22"/>
          <w:szCs w:val="22"/>
        </w:rPr>
        <w:lastRenderedPageBreak/>
        <w:t>Year on year reduction in the percentage difference in median base salary from 2020/21 to 2022/23 is reflective of our continued focus on building more gender balance in upper middle and upper quartiles of the organisation.  Median total remuneration has remained more st</w:t>
      </w:r>
      <w:r w:rsidR="00BF71D3">
        <w:rPr>
          <w:rFonts w:ascii="Calibri" w:hAnsi="Calibri" w:cs="Calibri"/>
          <w:sz w:val="22"/>
          <w:szCs w:val="22"/>
        </w:rPr>
        <w:t>able</w:t>
      </w:r>
      <w:r w:rsidRPr="00E5310D">
        <w:rPr>
          <w:rFonts w:ascii="Calibri" w:hAnsi="Calibri" w:cs="Calibri"/>
          <w:sz w:val="22"/>
          <w:szCs w:val="22"/>
        </w:rPr>
        <w:t xml:space="preserve"> and is indicative that greater progress needs to be made in female representation in roles in the upper quartile specifically where earning potential is highest through participation in long-term incentive programs and greater bonus opportunity, particularly in years when GSK’s bonus awards have been above target.</w:t>
      </w:r>
    </w:p>
    <w:p w14:paraId="066AE317" w14:textId="77777777" w:rsidR="00E5310D" w:rsidRPr="00E5310D" w:rsidRDefault="00E5310D" w:rsidP="003652E9">
      <w:pPr>
        <w:jc w:val="both"/>
        <w:rPr>
          <w:rFonts w:ascii="Calibri" w:hAnsi="Calibri" w:cs="Calibri"/>
          <w:sz w:val="22"/>
          <w:szCs w:val="22"/>
        </w:rPr>
      </w:pPr>
    </w:p>
    <w:p w14:paraId="0BB0ABEF" w14:textId="231C39E7" w:rsidR="00EF53AA" w:rsidRDefault="00E5310D" w:rsidP="003652E9">
      <w:pPr>
        <w:jc w:val="both"/>
        <w:rPr>
          <w:rFonts w:ascii="Calibri" w:hAnsi="Calibri" w:cs="Calibri"/>
          <w:sz w:val="22"/>
          <w:szCs w:val="22"/>
        </w:rPr>
      </w:pPr>
      <w:r w:rsidRPr="00E5310D">
        <w:rPr>
          <w:rFonts w:ascii="Calibri" w:hAnsi="Calibri" w:cs="Calibri"/>
          <w:sz w:val="22"/>
          <w:szCs w:val="22"/>
        </w:rPr>
        <w:t>Across the four quartiles of the organisation, female</w:t>
      </w:r>
      <w:r w:rsidR="00215484">
        <w:rPr>
          <w:rFonts w:ascii="Calibri" w:hAnsi="Calibri" w:cs="Calibri"/>
          <w:sz w:val="22"/>
          <w:szCs w:val="22"/>
        </w:rPr>
        <w:t xml:space="preserve"> employees</w:t>
      </w:r>
      <w:r w:rsidRPr="00E5310D">
        <w:rPr>
          <w:rFonts w:ascii="Calibri" w:hAnsi="Calibri" w:cs="Calibri"/>
          <w:sz w:val="22"/>
          <w:szCs w:val="22"/>
        </w:rPr>
        <w:t xml:space="preserve"> represent between 52%-64% of employees and 62% of Australian employees overall.  The distribution below supports the hypothesis that to improve gender pay balance we need to continue to support our initiatives to i</w:t>
      </w:r>
      <w:r w:rsidR="00807D70">
        <w:rPr>
          <w:rFonts w:ascii="Calibri" w:hAnsi="Calibri" w:cs="Calibri"/>
          <w:sz w:val="22"/>
          <w:szCs w:val="22"/>
        </w:rPr>
        <w:t>ncrease female</w:t>
      </w:r>
      <w:r w:rsidRPr="00E5310D">
        <w:rPr>
          <w:rFonts w:ascii="Calibri" w:hAnsi="Calibri" w:cs="Calibri"/>
          <w:sz w:val="22"/>
          <w:szCs w:val="22"/>
        </w:rPr>
        <w:t xml:space="preserve"> representation in the </w:t>
      </w:r>
      <w:r w:rsidR="00FB7186">
        <w:rPr>
          <w:rFonts w:ascii="Calibri" w:hAnsi="Calibri" w:cs="Calibri"/>
          <w:sz w:val="22"/>
          <w:szCs w:val="22"/>
        </w:rPr>
        <w:t>higher end</w:t>
      </w:r>
      <w:r w:rsidRPr="00E5310D">
        <w:rPr>
          <w:rFonts w:ascii="Calibri" w:hAnsi="Calibri" w:cs="Calibri"/>
          <w:sz w:val="22"/>
          <w:szCs w:val="22"/>
        </w:rPr>
        <w:t xml:space="preserve"> of the upper quartile</w:t>
      </w:r>
      <w:r w:rsidR="007A33D6">
        <w:rPr>
          <w:rFonts w:ascii="Calibri" w:hAnsi="Calibri" w:cs="Calibri"/>
          <w:sz w:val="22"/>
          <w:szCs w:val="22"/>
        </w:rPr>
        <w:t xml:space="preserve">.  The lower quartile also shows a </w:t>
      </w:r>
      <w:r w:rsidR="00987174">
        <w:rPr>
          <w:rFonts w:ascii="Calibri" w:hAnsi="Calibri" w:cs="Calibri"/>
          <w:sz w:val="22"/>
          <w:szCs w:val="22"/>
        </w:rPr>
        <w:t xml:space="preserve">higher pay gap which may be explained in part by highest </w:t>
      </w:r>
      <w:r w:rsidR="00D14DD5">
        <w:rPr>
          <w:rFonts w:ascii="Calibri" w:hAnsi="Calibri" w:cs="Calibri"/>
          <w:sz w:val="22"/>
          <w:szCs w:val="22"/>
        </w:rPr>
        <w:t>proportion of female workers</w:t>
      </w:r>
      <w:r w:rsidR="00863F74">
        <w:rPr>
          <w:rFonts w:ascii="Calibri" w:hAnsi="Calibri" w:cs="Calibri"/>
          <w:sz w:val="22"/>
          <w:szCs w:val="22"/>
        </w:rPr>
        <w:t>.</w:t>
      </w:r>
    </w:p>
    <w:p w14:paraId="7F8DB9B0" w14:textId="77777777" w:rsidR="00863F74" w:rsidRDefault="00863F74" w:rsidP="00B5711A">
      <w:pPr>
        <w:rPr>
          <w:rFonts w:ascii="Calibri" w:hAnsi="Calibri" w:cs="Calibri"/>
          <w:sz w:val="22"/>
          <w:szCs w:val="22"/>
        </w:rPr>
      </w:pPr>
    </w:p>
    <w:p w14:paraId="28D728DA" w14:textId="60042369" w:rsidR="00E5310D" w:rsidRPr="00E5310D" w:rsidRDefault="00605849" w:rsidP="00E5310D">
      <w:pPr>
        <w:rPr>
          <w:rFonts w:ascii="Calibri" w:hAnsi="Calibri" w:cs="Calibri"/>
          <w:sz w:val="22"/>
          <w:szCs w:val="22"/>
        </w:rPr>
      </w:pPr>
      <w:r w:rsidRPr="006C5E7C">
        <w:rPr>
          <w:noProof/>
        </w:rPr>
        <w:drawing>
          <wp:inline distT="0" distB="0" distL="0" distR="0" wp14:anchorId="19CF59E0" wp14:editId="5B656E03">
            <wp:extent cx="5581650" cy="2617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2921" cy="262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3DC4A" w14:textId="77777777" w:rsidR="00863F74" w:rsidRDefault="00863F74" w:rsidP="00E5310D">
      <w:pPr>
        <w:rPr>
          <w:rFonts w:ascii="Calibri" w:hAnsi="Calibri" w:cs="Calibri"/>
          <w:sz w:val="22"/>
          <w:szCs w:val="22"/>
        </w:rPr>
      </w:pPr>
    </w:p>
    <w:p w14:paraId="6B89824B" w14:textId="43D222DF" w:rsidR="00E5310D" w:rsidRPr="00E5310D" w:rsidRDefault="00E5310D" w:rsidP="00E5310D">
      <w:pPr>
        <w:rPr>
          <w:rFonts w:ascii="Calibri" w:hAnsi="Calibri" w:cs="Calibri"/>
          <w:b/>
          <w:bCs/>
          <w:color w:val="F36633" w:themeColor="text2"/>
          <w:sz w:val="22"/>
          <w:szCs w:val="22"/>
          <w:u w:val="single"/>
        </w:rPr>
      </w:pPr>
      <w:r w:rsidRPr="00E5310D">
        <w:rPr>
          <w:rFonts w:ascii="Calibri" w:hAnsi="Calibri" w:cs="Calibri"/>
          <w:b/>
          <w:bCs/>
          <w:color w:val="F36633" w:themeColor="text2"/>
          <w:sz w:val="22"/>
          <w:szCs w:val="22"/>
          <w:u w:val="single"/>
        </w:rPr>
        <w:t xml:space="preserve">Key Management Personnel </w:t>
      </w:r>
      <w:r w:rsidR="00B51343">
        <w:rPr>
          <w:rFonts w:ascii="Calibri" w:hAnsi="Calibri" w:cs="Calibri"/>
          <w:b/>
          <w:bCs/>
          <w:color w:val="F36633" w:themeColor="text2"/>
          <w:sz w:val="22"/>
          <w:szCs w:val="22"/>
          <w:u w:val="single"/>
        </w:rPr>
        <w:t xml:space="preserve">(KMP) </w:t>
      </w:r>
      <w:r w:rsidRPr="00E5310D">
        <w:rPr>
          <w:rFonts w:ascii="Calibri" w:hAnsi="Calibri" w:cs="Calibri"/>
          <w:b/>
          <w:bCs/>
          <w:color w:val="F36633" w:themeColor="text2"/>
          <w:sz w:val="22"/>
          <w:szCs w:val="22"/>
          <w:u w:val="single"/>
        </w:rPr>
        <w:t>and Managers</w:t>
      </w:r>
    </w:p>
    <w:p w14:paraId="796DB63F" w14:textId="77777777" w:rsidR="00E5310D" w:rsidRPr="00E5310D" w:rsidRDefault="00E5310D" w:rsidP="00E5310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5585835" w14:textId="5AAAE733" w:rsidR="00E5310D" w:rsidRDefault="00095BE5" w:rsidP="003652E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E5310D" w:rsidRPr="00E5310D">
        <w:rPr>
          <w:rFonts w:ascii="Calibri" w:hAnsi="Calibri" w:cs="Calibri"/>
          <w:sz w:val="22"/>
          <w:szCs w:val="22"/>
        </w:rPr>
        <w:t xml:space="preserve">he guidance from </w:t>
      </w:r>
      <w:r w:rsidR="00E5310D" w:rsidRPr="002A1F58">
        <w:rPr>
          <w:rFonts w:ascii="Calibri" w:hAnsi="Calibri" w:cs="Calibri"/>
          <w:sz w:val="22"/>
          <w:szCs w:val="22"/>
        </w:rPr>
        <w:t>W</w:t>
      </w:r>
      <w:r w:rsidR="00AC119D" w:rsidRPr="002A1F58">
        <w:rPr>
          <w:rFonts w:ascii="Calibri" w:hAnsi="Calibri" w:cs="Calibri"/>
          <w:sz w:val="22"/>
          <w:szCs w:val="22"/>
        </w:rPr>
        <w:t xml:space="preserve">orkplace </w:t>
      </w:r>
      <w:r w:rsidR="00E5310D" w:rsidRPr="002A1F58">
        <w:rPr>
          <w:rFonts w:ascii="Calibri" w:hAnsi="Calibri" w:cs="Calibri"/>
          <w:sz w:val="22"/>
          <w:szCs w:val="22"/>
        </w:rPr>
        <w:t>G</w:t>
      </w:r>
      <w:r w:rsidR="00AC119D" w:rsidRPr="002A1F58">
        <w:rPr>
          <w:rFonts w:ascii="Calibri" w:hAnsi="Calibri" w:cs="Calibri"/>
          <w:sz w:val="22"/>
          <w:szCs w:val="22"/>
        </w:rPr>
        <w:t xml:space="preserve">ender </w:t>
      </w:r>
      <w:r w:rsidR="00E5310D" w:rsidRPr="002A1F58">
        <w:rPr>
          <w:rFonts w:ascii="Calibri" w:hAnsi="Calibri" w:cs="Calibri"/>
          <w:sz w:val="22"/>
          <w:szCs w:val="22"/>
        </w:rPr>
        <w:t>E</w:t>
      </w:r>
      <w:r w:rsidR="00AC119D" w:rsidRPr="002A1F58">
        <w:rPr>
          <w:rFonts w:ascii="Calibri" w:hAnsi="Calibri" w:cs="Calibri"/>
          <w:sz w:val="22"/>
          <w:szCs w:val="22"/>
        </w:rPr>
        <w:t xml:space="preserve">quity </w:t>
      </w:r>
      <w:r w:rsidR="00E5310D" w:rsidRPr="002A1F58">
        <w:rPr>
          <w:rFonts w:ascii="Calibri" w:hAnsi="Calibri" w:cs="Calibri"/>
          <w:sz w:val="22"/>
          <w:szCs w:val="22"/>
        </w:rPr>
        <w:t>A</w:t>
      </w:r>
      <w:r w:rsidR="00AC119D" w:rsidRPr="002A1F58">
        <w:rPr>
          <w:rFonts w:ascii="Calibri" w:hAnsi="Calibri" w:cs="Calibri"/>
          <w:sz w:val="22"/>
          <w:szCs w:val="22"/>
        </w:rPr>
        <w:t>gency</w:t>
      </w:r>
      <w:r w:rsidR="00E5310D" w:rsidRPr="00E5310D">
        <w:rPr>
          <w:rFonts w:ascii="Calibri" w:hAnsi="Calibri" w:cs="Calibri"/>
          <w:sz w:val="22"/>
          <w:szCs w:val="22"/>
        </w:rPr>
        <w:t xml:space="preserve"> on the definition of KMP to </w:t>
      </w:r>
      <w:r w:rsidR="00E5310D" w:rsidRPr="00145628">
        <w:rPr>
          <w:rFonts w:ascii="Calibri" w:hAnsi="Calibri" w:cs="Calibri"/>
          <w:i/>
          <w:iCs/>
          <w:sz w:val="22"/>
          <w:szCs w:val="22"/>
        </w:rPr>
        <w:t>“have the authority and responsibility for planning, directing and controlling activities of an entity…. (with) a defining feature of KMPs is (that) their influence is at the entity level…. And participate in organisation-wide decisions”</w:t>
      </w:r>
      <w:r w:rsidR="00E5310D" w:rsidRPr="00E5310D">
        <w:rPr>
          <w:rFonts w:ascii="Calibri" w:hAnsi="Calibri" w:cs="Calibri"/>
          <w:sz w:val="22"/>
          <w:szCs w:val="22"/>
        </w:rPr>
        <w:t xml:space="preserve">.  For Australia this group is the ANZ Country Executive Board made up of SVP &amp; General Manager - Australia (chair), Country Manager </w:t>
      </w:r>
      <w:proofErr w:type="spellStart"/>
      <w:r w:rsidR="00E5310D" w:rsidRPr="00E5310D">
        <w:rPr>
          <w:rFonts w:ascii="Calibri" w:hAnsi="Calibri" w:cs="Calibri"/>
          <w:sz w:val="22"/>
          <w:szCs w:val="22"/>
        </w:rPr>
        <w:t>ViiV</w:t>
      </w:r>
      <w:proofErr w:type="spellEnd"/>
      <w:r w:rsidR="00E5310D" w:rsidRPr="00E5310D">
        <w:rPr>
          <w:rFonts w:ascii="Calibri" w:hAnsi="Calibri" w:cs="Calibri"/>
          <w:sz w:val="22"/>
          <w:szCs w:val="22"/>
        </w:rPr>
        <w:t xml:space="preserve"> Australia, Head of Human Resources, Director Communications, Government Affairs </w:t>
      </w:r>
      <w:r w:rsidR="00B06DDA">
        <w:rPr>
          <w:rFonts w:ascii="Calibri" w:hAnsi="Calibri" w:cs="Calibri"/>
          <w:sz w:val="22"/>
          <w:szCs w:val="22"/>
        </w:rPr>
        <w:t>and</w:t>
      </w:r>
      <w:r w:rsidR="00E5310D" w:rsidRPr="00E5310D">
        <w:rPr>
          <w:rFonts w:ascii="Calibri" w:hAnsi="Calibri" w:cs="Calibri"/>
          <w:sz w:val="22"/>
          <w:szCs w:val="22"/>
        </w:rPr>
        <w:t xml:space="preserve"> Market Access and the General Manager – New Zealand.  All board</w:t>
      </w:r>
      <w:r w:rsidR="00B06DDA">
        <w:rPr>
          <w:rFonts w:ascii="Calibri" w:hAnsi="Calibri" w:cs="Calibri"/>
          <w:sz w:val="22"/>
          <w:szCs w:val="22"/>
        </w:rPr>
        <w:t xml:space="preserve"> </w:t>
      </w:r>
      <w:r w:rsidR="005B5167">
        <w:rPr>
          <w:rFonts w:ascii="Calibri" w:hAnsi="Calibri" w:cs="Calibri"/>
          <w:sz w:val="22"/>
          <w:szCs w:val="22"/>
        </w:rPr>
        <w:t>members</w:t>
      </w:r>
      <w:r w:rsidR="00E5310D" w:rsidRPr="00E5310D">
        <w:rPr>
          <w:rFonts w:ascii="Calibri" w:hAnsi="Calibri" w:cs="Calibri"/>
          <w:sz w:val="22"/>
          <w:szCs w:val="22"/>
        </w:rPr>
        <w:t xml:space="preserve"> are male except for the General Manager – New Zealand. </w:t>
      </w:r>
    </w:p>
    <w:p w14:paraId="108D8C55" w14:textId="77777777" w:rsidR="00E5310D" w:rsidRPr="00E5310D" w:rsidRDefault="00E5310D" w:rsidP="00E5310D">
      <w:pPr>
        <w:rPr>
          <w:rFonts w:ascii="Calibri" w:hAnsi="Calibri" w:cs="Calibri"/>
          <w:sz w:val="22"/>
          <w:szCs w:val="22"/>
        </w:rPr>
      </w:pPr>
    </w:p>
    <w:p w14:paraId="793C9E86" w14:textId="77777777" w:rsidR="00E5310D" w:rsidRDefault="00E5310D" w:rsidP="00E5310D">
      <w:pPr>
        <w:rPr>
          <w:rFonts w:ascii="Calibri" w:hAnsi="Calibri" w:cs="Calibri"/>
          <w:sz w:val="22"/>
          <w:szCs w:val="22"/>
        </w:rPr>
      </w:pPr>
      <w:r w:rsidRPr="00E5310D">
        <w:rPr>
          <w:rFonts w:ascii="Calibri" w:hAnsi="Calibri" w:cs="Calibri"/>
          <w:sz w:val="22"/>
          <w:szCs w:val="22"/>
        </w:rPr>
        <w:t>The Australian Leadership Team who leads the local business operations has twelve (12) members of which 40% are female.</w:t>
      </w:r>
    </w:p>
    <w:p w14:paraId="2DD30C98" w14:textId="77777777" w:rsidR="00E5310D" w:rsidRPr="00E5310D" w:rsidRDefault="00E5310D" w:rsidP="00E5310D">
      <w:pPr>
        <w:rPr>
          <w:rFonts w:ascii="Calibri" w:hAnsi="Calibri" w:cs="Calibri"/>
          <w:sz w:val="22"/>
          <w:szCs w:val="22"/>
        </w:rPr>
      </w:pPr>
    </w:p>
    <w:p w14:paraId="7CE1D7DD" w14:textId="1F9A761A" w:rsidR="00E5310D" w:rsidRDefault="00E5310D" w:rsidP="00E5310D">
      <w:pPr>
        <w:rPr>
          <w:rFonts w:ascii="Calibri" w:hAnsi="Calibri" w:cs="Calibri"/>
          <w:sz w:val="22"/>
          <w:szCs w:val="22"/>
        </w:rPr>
      </w:pPr>
      <w:r w:rsidRPr="00E5310D">
        <w:rPr>
          <w:rFonts w:ascii="Calibri" w:hAnsi="Calibri" w:cs="Calibri"/>
          <w:sz w:val="22"/>
          <w:szCs w:val="22"/>
        </w:rPr>
        <w:t>The gender balance in management roles across of GSK Australia has improved from 44% in 2020/21 to 48% in 2022/23</w:t>
      </w:r>
    </w:p>
    <w:p w14:paraId="22BC298C" w14:textId="77777777" w:rsidR="00B67018" w:rsidRPr="00E5310D" w:rsidRDefault="00B67018" w:rsidP="00E5310D">
      <w:pPr>
        <w:rPr>
          <w:rFonts w:ascii="Calibri" w:hAnsi="Calibri" w:cs="Calibri"/>
          <w:sz w:val="22"/>
          <w:szCs w:val="22"/>
        </w:rPr>
      </w:pPr>
    </w:p>
    <w:p w14:paraId="3340983A" w14:textId="77777777" w:rsidR="00E5310D" w:rsidRPr="00E5310D" w:rsidRDefault="00E5310D" w:rsidP="00E5310D">
      <w:pPr>
        <w:rPr>
          <w:rFonts w:ascii="Calibri" w:hAnsi="Calibri" w:cs="Calibri"/>
          <w:sz w:val="22"/>
          <w:szCs w:val="22"/>
        </w:rPr>
      </w:pPr>
      <w:r w:rsidRPr="00E5310D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2D58013B" wp14:editId="2433FB8B">
            <wp:extent cx="5731510" cy="13208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CA7DC" w14:textId="77777777" w:rsidR="00E5310D" w:rsidRPr="00E5310D" w:rsidRDefault="00E5310D" w:rsidP="00E5310D">
      <w:pPr>
        <w:rPr>
          <w:rFonts w:ascii="Calibri" w:hAnsi="Calibri" w:cs="Calibri"/>
          <w:sz w:val="22"/>
          <w:szCs w:val="22"/>
        </w:rPr>
      </w:pPr>
    </w:p>
    <w:p w14:paraId="03A0D656" w14:textId="2FAE202E" w:rsidR="00E5310D" w:rsidRDefault="00E5310D" w:rsidP="00E5310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E5310D">
        <w:rPr>
          <w:rFonts w:ascii="Calibri" w:hAnsi="Calibri" w:cs="Calibri"/>
          <w:b/>
          <w:bCs/>
          <w:color w:val="F36633" w:themeColor="text2"/>
          <w:sz w:val="22"/>
          <w:szCs w:val="22"/>
          <w:u w:val="single"/>
        </w:rPr>
        <w:t>GSK Australia Gender Pay Gap – Key Priority Actions 2024</w:t>
      </w:r>
    </w:p>
    <w:p w14:paraId="3B384BA6" w14:textId="77777777" w:rsidR="00293AC2" w:rsidRPr="00293AC2" w:rsidRDefault="00293AC2" w:rsidP="00E5310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FDB4849" w14:textId="34E30D00" w:rsidR="00E5310D" w:rsidRDefault="00493294" w:rsidP="00E5310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 are c</w:t>
      </w:r>
      <w:r w:rsidR="00E5310D" w:rsidRPr="00E5310D">
        <w:rPr>
          <w:rFonts w:ascii="Calibri" w:hAnsi="Calibri" w:cs="Calibri"/>
          <w:sz w:val="22"/>
          <w:szCs w:val="22"/>
        </w:rPr>
        <w:t xml:space="preserve">ommitted to </w:t>
      </w:r>
      <w:r w:rsidR="004615F3">
        <w:rPr>
          <w:rFonts w:ascii="Calibri" w:hAnsi="Calibri" w:cs="Calibri"/>
          <w:sz w:val="22"/>
          <w:szCs w:val="22"/>
        </w:rPr>
        <w:t>taking</w:t>
      </w:r>
      <w:r w:rsidR="00E5310D" w:rsidRPr="00E5310D">
        <w:rPr>
          <w:rFonts w:ascii="Calibri" w:hAnsi="Calibri" w:cs="Calibri"/>
          <w:sz w:val="22"/>
          <w:szCs w:val="22"/>
        </w:rPr>
        <w:t xml:space="preserve"> meaningful</w:t>
      </w:r>
      <w:r w:rsidR="004615F3">
        <w:rPr>
          <w:rFonts w:ascii="Calibri" w:hAnsi="Calibri" w:cs="Calibri"/>
          <w:sz w:val="22"/>
          <w:szCs w:val="22"/>
        </w:rPr>
        <w:t xml:space="preserve"> actions to</w:t>
      </w:r>
      <w:r w:rsidR="00E66E0B">
        <w:rPr>
          <w:rFonts w:ascii="Calibri" w:hAnsi="Calibri" w:cs="Calibri"/>
          <w:sz w:val="22"/>
          <w:szCs w:val="22"/>
        </w:rPr>
        <w:t xml:space="preserve"> reduc</w:t>
      </w:r>
      <w:r w:rsidR="006170C5">
        <w:rPr>
          <w:rFonts w:ascii="Calibri" w:hAnsi="Calibri" w:cs="Calibri"/>
          <w:sz w:val="22"/>
          <w:szCs w:val="22"/>
        </w:rPr>
        <w:t>e</w:t>
      </w:r>
      <w:r w:rsidR="00E66E0B">
        <w:rPr>
          <w:rFonts w:ascii="Calibri" w:hAnsi="Calibri" w:cs="Calibri"/>
          <w:sz w:val="22"/>
          <w:szCs w:val="22"/>
        </w:rPr>
        <w:t xml:space="preserve"> </w:t>
      </w:r>
      <w:r w:rsidR="00E9015A">
        <w:rPr>
          <w:rFonts w:ascii="Calibri" w:hAnsi="Calibri" w:cs="Calibri"/>
          <w:sz w:val="22"/>
          <w:szCs w:val="22"/>
        </w:rPr>
        <w:t>the gender</w:t>
      </w:r>
      <w:r w:rsidR="00E5310D" w:rsidRPr="00E5310D">
        <w:rPr>
          <w:rFonts w:ascii="Calibri" w:hAnsi="Calibri" w:cs="Calibri"/>
          <w:sz w:val="22"/>
          <w:szCs w:val="22"/>
        </w:rPr>
        <w:t xml:space="preserve"> pay </w:t>
      </w:r>
      <w:r w:rsidR="00E9015A">
        <w:rPr>
          <w:rFonts w:ascii="Calibri" w:hAnsi="Calibri" w:cs="Calibri"/>
          <w:sz w:val="22"/>
          <w:szCs w:val="22"/>
        </w:rPr>
        <w:t>gap</w:t>
      </w:r>
      <w:r w:rsidR="00E5310D" w:rsidRPr="00E5310D">
        <w:rPr>
          <w:rFonts w:ascii="Calibri" w:hAnsi="Calibri" w:cs="Calibri"/>
          <w:sz w:val="22"/>
          <w:szCs w:val="22"/>
        </w:rPr>
        <w:t xml:space="preserve"> in GSK </w:t>
      </w:r>
      <w:r w:rsidR="00095BE5">
        <w:rPr>
          <w:rFonts w:ascii="Calibri" w:hAnsi="Calibri" w:cs="Calibri"/>
          <w:sz w:val="22"/>
          <w:szCs w:val="22"/>
        </w:rPr>
        <w:t xml:space="preserve">and </w:t>
      </w:r>
      <w:proofErr w:type="spellStart"/>
      <w:r w:rsidR="00095BE5">
        <w:rPr>
          <w:rFonts w:ascii="Calibri" w:hAnsi="Calibri" w:cs="Calibri"/>
          <w:sz w:val="22"/>
          <w:szCs w:val="22"/>
        </w:rPr>
        <w:t>ViiV</w:t>
      </w:r>
      <w:proofErr w:type="spellEnd"/>
      <w:r w:rsidR="00095BE5">
        <w:rPr>
          <w:rFonts w:ascii="Calibri" w:hAnsi="Calibri" w:cs="Calibri"/>
          <w:sz w:val="22"/>
          <w:szCs w:val="22"/>
        </w:rPr>
        <w:t xml:space="preserve"> Healthcare </w:t>
      </w:r>
      <w:r w:rsidR="00E5310D" w:rsidRPr="00E5310D">
        <w:rPr>
          <w:rFonts w:ascii="Calibri" w:hAnsi="Calibri" w:cs="Calibri"/>
          <w:sz w:val="22"/>
          <w:szCs w:val="22"/>
        </w:rPr>
        <w:t xml:space="preserve">Australia.  </w:t>
      </w:r>
    </w:p>
    <w:p w14:paraId="2D2EDED8" w14:textId="77777777" w:rsidR="00FF217F" w:rsidRDefault="00FF217F" w:rsidP="00E5310D">
      <w:pPr>
        <w:rPr>
          <w:rFonts w:ascii="Calibri" w:hAnsi="Calibri" w:cs="Calibri"/>
          <w:sz w:val="22"/>
          <w:szCs w:val="22"/>
        </w:rPr>
      </w:pPr>
    </w:p>
    <w:p w14:paraId="5BE1D939" w14:textId="23685315" w:rsidR="00293AC2" w:rsidRPr="00E5310D" w:rsidRDefault="00293AC2" w:rsidP="00293AC2">
      <w:pPr>
        <w:jc w:val="both"/>
        <w:rPr>
          <w:rFonts w:ascii="Calibri" w:hAnsi="Calibri" w:cs="Calibri"/>
          <w:sz w:val="22"/>
          <w:szCs w:val="22"/>
        </w:rPr>
      </w:pPr>
      <w:r w:rsidRPr="00E5310D">
        <w:rPr>
          <w:rFonts w:ascii="Calibri" w:hAnsi="Calibri" w:cs="Calibri"/>
          <w:sz w:val="22"/>
          <w:szCs w:val="22"/>
        </w:rPr>
        <w:t>We regularly review pay equity at various stages of the employment cycle (</w:t>
      </w:r>
      <w:proofErr w:type="gramStart"/>
      <w:r w:rsidRPr="00E5310D">
        <w:rPr>
          <w:rFonts w:ascii="Calibri" w:hAnsi="Calibri" w:cs="Calibri"/>
          <w:sz w:val="22"/>
          <w:szCs w:val="22"/>
        </w:rPr>
        <w:t>e.g.</w:t>
      </w:r>
      <w:proofErr w:type="gramEnd"/>
      <w:r w:rsidRPr="00E5310D">
        <w:rPr>
          <w:rFonts w:ascii="Calibri" w:hAnsi="Calibri" w:cs="Calibri"/>
          <w:sz w:val="22"/>
          <w:szCs w:val="22"/>
        </w:rPr>
        <w:t xml:space="preserve"> at hire, during the performance and reward process, and market reviews), making adjustments if necessary through our compensation processes. Our GSK Reward principles include a commitment to ensure pay practices are inclusive and not discriminatory, and we take this very seriously.</w:t>
      </w:r>
    </w:p>
    <w:p w14:paraId="3813602A" w14:textId="77777777" w:rsidR="00145628" w:rsidRDefault="00145628" w:rsidP="00E5310D">
      <w:pPr>
        <w:rPr>
          <w:rFonts w:ascii="Calibri" w:hAnsi="Calibri" w:cs="Calibri"/>
          <w:sz w:val="22"/>
          <w:szCs w:val="22"/>
        </w:rPr>
      </w:pPr>
    </w:p>
    <w:p w14:paraId="4A70F8F4" w14:textId="720EAD18" w:rsidR="00E5310D" w:rsidRPr="00E5310D" w:rsidRDefault="00E5310D" w:rsidP="00E5310D">
      <w:pPr>
        <w:rPr>
          <w:rFonts w:ascii="Calibri" w:hAnsi="Calibri" w:cs="Calibri"/>
          <w:sz w:val="22"/>
          <w:szCs w:val="22"/>
        </w:rPr>
      </w:pPr>
      <w:r w:rsidRPr="00E5310D">
        <w:rPr>
          <w:rFonts w:ascii="Calibri" w:hAnsi="Calibri" w:cs="Calibri"/>
          <w:sz w:val="22"/>
          <w:szCs w:val="22"/>
        </w:rPr>
        <w:t>Additional key tactics in place to respond to our gender pay gap positioning:</w:t>
      </w:r>
    </w:p>
    <w:p w14:paraId="6B0B79C9" w14:textId="77777777" w:rsidR="00E5310D" w:rsidRPr="00E5310D" w:rsidRDefault="00E5310D" w:rsidP="003652E9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 w:rsidRPr="00E5310D">
        <w:rPr>
          <w:rFonts w:ascii="Calibri" w:hAnsi="Calibri" w:cs="Calibri"/>
        </w:rPr>
        <w:t xml:space="preserve">Clear development plans in place and mentoring for all unique successors for Australia priority leadership roles to accelerate “readiness”, </w:t>
      </w:r>
    </w:p>
    <w:p w14:paraId="324C095C" w14:textId="77777777" w:rsidR="00E5310D" w:rsidRPr="00E5310D" w:rsidRDefault="00E5310D" w:rsidP="003652E9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 w:rsidRPr="00E5310D">
        <w:rPr>
          <w:rFonts w:ascii="Calibri" w:hAnsi="Calibri" w:cs="Calibri"/>
        </w:rPr>
        <w:t>Continued measurement of recruitment process to ensure gender balanced participation in the short-listing (those candidates presented to a hiring manager for consideration for a vacancy) and first round interview (those invited for a first-round interview with the hiring manager) stages,</w:t>
      </w:r>
    </w:p>
    <w:p w14:paraId="2A0FD348" w14:textId="77777777" w:rsidR="00E5310D" w:rsidRPr="00E5310D" w:rsidRDefault="00E5310D" w:rsidP="003652E9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 w:rsidRPr="00E5310D">
        <w:rPr>
          <w:rFonts w:ascii="Calibri" w:hAnsi="Calibri" w:cs="Calibri"/>
        </w:rPr>
        <w:t>Continue to ensure that our manager practice and culture actively supports our key Inclusion and diversity policies notably our Parental Leave Policy &amp; Care of a Family Member Leave Policy as well as psychological safety and growth mindset,</w:t>
      </w:r>
    </w:p>
    <w:p w14:paraId="59792AC4" w14:textId="63092A5F" w:rsidR="00E5310D" w:rsidRDefault="00E5310D" w:rsidP="003652E9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 w:rsidRPr="00E5310D">
        <w:rPr>
          <w:rFonts w:ascii="Calibri" w:hAnsi="Calibri" w:cs="Calibri"/>
        </w:rPr>
        <w:t>Executive Sponsorship of the Australian Women in Leadership</w:t>
      </w:r>
      <w:r w:rsidR="004E0410">
        <w:rPr>
          <w:rFonts w:ascii="Calibri" w:hAnsi="Calibri" w:cs="Calibri"/>
        </w:rPr>
        <w:t xml:space="preserve"> (WLI)</w:t>
      </w:r>
      <w:r w:rsidRPr="00E5310D">
        <w:rPr>
          <w:rFonts w:ascii="Calibri" w:hAnsi="Calibri" w:cs="Calibri"/>
        </w:rPr>
        <w:t xml:space="preserve"> employee resource group.</w:t>
      </w:r>
    </w:p>
    <w:p w14:paraId="4B41B767" w14:textId="77777777" w:rsidR="00E96824" w:rsidRDefault="00E96824" w:rsidP="00E96824">
      <w:pPr>
        <w:jc w:val="both"/>
        <w:rPr>
          <w:rFonts w:ascii="Calibri" w:hAnsi="Calibri" w:cs="Calibri"/>
        </w:rPr>
      </w:pPr>
    </w:p>
    <w:p w14:paraId="4BECFA78" w14:textId="77777777" w:rsidR="00E96824" w:rsidRPr="00E96824" w:rsidRDefault="00E96824" w:rsidP="00E96824">
      <w:pPr>
        <w:jc w:val="both"/>
        <w:rPr>
          <w:rFonts w:ascii="Calibri" w:hAnsi="Calibri" w:cs="Calibri"/>
        </w:rPr>
      </w:pPr>
    </w:p>
    <w:sectPr w:rsidR="00E96824" w:rsidRPr="00E96824" w:rsidSect="00415865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2268" w:right="3005" w:bottom="1247" w:left="124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43A33" w14:textId="77777777" w:rsidR="0004636F" w:rsidRDefault="0004636F" w:rsidP="002D3D4A">
      <w:r>
        <w:separator/>
      </w:r>
    </w:p>
    <w:p w14:paraId="0F9999D0" w14:textId="77777777" w:rsidR="0004636F" w:rsidRDefault="0004636F"/>
  </w:endnote>
  <w:endnote w:type="continuationSeparator" w:id="0">
    <w:p w14:paraId="47C66AE7" w14:textId="77777777" w:rsidR="0004636F" w:rsidRDefault="0004636F" w:rsidP="002D3D4A">
      <w:r>
        <w:continuationSeparator/>
      </w:r>
    </w:p>
    <w:p w14:paraId="21FFF6FD" w14:textId="77777777" w:rsidR="0004636F" w:rsidRDefault="0004636F"/>
  </w:endnote>
  <w:endnote w:type="continuationNotice" w:id="1">
    <w:p w14:paraId="34C4923E" w14:textId="77777777" w:rsidR="0004636F" w:rsidRDefault="000463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SK Precision">
    <w:panose1 w:val="00000000000000000000"/>
    <w:charset w:val="00"/>
    <w:family w:val="auto"/>
    <w:pitch w:val="variable"/>
    <w:sig w:usb0="A00000FF" w:usb1="4000A4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885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90453" w14:textId="17357B44" w:rsidR="008E436C" w:rsidRDefault="008E436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7E4CC2" w14:textId="77777777" w:rsidR="00FE07EB" w:rsidRDefault="00FE07EB" w:rsidP="00FE07EB">
    <w:pPr>
      <w:pStyle w:val="Footer"/>
      <w:tabs>
        <w:tab w:val="clear" w:pos="4513"/>
        <w:tab w:val="clear" w:pos="9026"/>
        <w:tab w:val="right" w:pos="102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D501D" w14:textId="20C25749" w:rsidR="00F038E4" w:rsidRDefault="002F201C">
    <w:pPr>
      <w:pStyle w:val="Footer"/>
    </w:pPr>
    <w:r w:rsidRPr="00F038E4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040E7B4" wp14:editId="724E28D9">
              <wp:simplePos x="0" y="0"/>
              <wp:positionH relativeFrom="margin">
                <wp:align>left</wp:align>
              </wp:positionH>
              <wp:positionV relativeFrom="page">
                <wp:posOffset>10128250</wp:posOffset>
              </wp:positionV>
              <wp:extent cx="1358900" cy="305435"/>
              <wp:effectExtent l="0" t="0" r="1270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890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23FC5B" w14:textId="499033E0" w:rsidR="00F038E4" w:rsidRDefault="00887EB8" w:rsidP="00F038E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GlaxoSmithKline Australia Pty Ltd</w:t>
                          </w:r>
                        </w:p>
                        <w:p w14:paraId="3C22E1CE" w14:textId="70BEADCC" w:rsidR="00887EB8" w:rsidRPr="00F038E4" w:rsidRDefault="00887EB8" w:rsidP="00F038E4">
                          <w:pPr>
                            <w:rPr>
                              <w:rFonts w:ascii="GSK Precision" w:hAnsi="GSK Precisio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ABN 47 100 162 481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40E7B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797.5pt;width:107pt;height:24.0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" filled="f" stroked="f" strokeweight=".5pt">
              <v:textbox inset="0,0,0,0">
                <w:txbxContent>
                  <w:p w14:paraId="0D23FC5B" w14:textId="499033E0" w:rsidR="00F038E4" w:rsidRDefault="00887EB8" w:rsidP="00F038E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GlaxoSmithKline Australia Pty Ltd</w:t>
                    </w:r>
                  </w:p>
                  <w:p w14:paraId="3C22E1CE" w14:textId="70BEADCC" w:rsidR="00887EB8" w:rsidRPr="00F038E4" w:rsidRDefault="00887EB8" w:rsidP="00F038E4">
                    <w:pPr>
                      <w:rPr>
                        <w:rFonts w:ascii="GSK Precision" w:hAnsi="GSK Precision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ABN 47 100 162 481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D4233" w14:textId="77777777" w:rsidR="0004636F" w:rsidRDefault="0004636F" w:rsidP="002D3D4A">
      <w:r>
        <w:separator/>
      </w:r>
    </w:p>
    <w:p w14:paraId="4B218ACC" w14:textId="77777777" w:rsidR="0004636F" w:rsidRDefault="0004636F"/>
  </w:footnote>
  <w:footnote w:type="continuationSeparator" w:id="0">
    <w:p w14:paraId="24C535C9" w14:textId="77777777" w:rsidR="0004636F" w:rsidRDefault="0004636F" w:rsidP="002D3D4A">
      <w:r>
        <w:continuationSeparator/>
      </w:r>
    </w:p>
    <w:p w14:paraId="3CAD1751" w14:textId="77777777" w:rsidR="0004636F" w:rsidRDefault="0004636F"/>
  </w:footnote>
  <w:footnote w:type="continuationNotice" w:id="1">
    <w:p w14:paraId="3FE5B703" w14:textId="77777777" w:rsidR="0004636F" w:rsidRDefault="000463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07680713"/>
      <w:docPartObj>
        <w:docPartGallery w:val="Page Numbers (Top of Page)"/>
        <w:docPartUnique/>
      </w:docPartObj>
    </w:sdtPr>
    <w:sdtContent>
      <w:p w14:paraId="35B63B52" w14:textId="77777777" w:rsidR="00BA082A" w:rsidRDefault="00BA082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0E96AD" w14:textId="77777777" w:rsidR="003F45FB" w:rsidRDefault="003F45FB" w:rsidP="00BA082A">
    <w:pPr>
      <w:pStyle w:val="Header"/>
      <w:ind w:right="360"/>
    </w:pPr>
  </w:p>
  <w:p w14:paraId="69B7352D" w14:textId="77777777" w:rsidR="00BB6F58" w:rsidRDefault="00BB6F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CBB2" w14:textId="77777777" w:rsidR="009C2981" w:rsidRDefault="009C2981" w:rsidP="007437B2">
    <w:pPr>
      <w:pStyle w:val="Footer"/>
      <w:tabs>
        <w:tab w:val="clear" w:pos="4513"/>
        <w:tab w:val="clear" w:pos="9026"/>
        <w:tab w:val="right" w:pos="10206"/>
      </w:tabs>
    </w:pPr>
    <w:r>
      <w:tab/>
    </w:r>
  </w:p>
  <w:p w14:paraId="46C63911" w14:textId="77777777" w:rsidR="009042D1" w:rsidRDefault="009042D1" w:rsidP="009042D1">
    <w:pPr>
      <w:pStyle w:val="Primarypageheading"/>
    </w:pPr>
  </w:p>
  <w:p w14:paraId="3D880D01" w14:textId="77777777" w:rsidR="009042D1" w:rsidRDefault="009042D1" w:rsidP="009042D1">
    <w:pPr>
      <w:pStyle w:val="Supportingheading"/>
    </w:pPr>
  </w:p>
  <w:p w14:paraId="2767B250" w14:textId="77777777" w:rsidR="009042D1" w:rsidRPr="002D3D4A" w:rsidRDefault="009042D1" w:rsidP="009042D1">
    <w:pPr>
      <w:pStyle w:val="Supportingheading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90834" w14:textId="77777777" w:rsidR="007437B2" w:rsidRDefault="00604173">
    <w:pPr>
      <w:pStyle w:val="Header"/>
    </w:pPr>
    <w:r w:rsidRPr="007437B2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EF92755" wp14:editId="0766A09A">
              <wp:simplePos x="0" y="0"/>
              <wp:positionH relativeFrom="page">
                <wp:posOffset>5674995</wp:posOffset>
              </wp:positionH>
              <wp:positionV relativeFrom="page">
                <wp:posOffset>1439676</wp:posOffset>
              </wp:positionV>
              <wp:extent cx="1586800" cy="1558290"/>
              <wp:effectExtent l="0" t="0" r="1270" b="381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6800" cy="1558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B92163" w14:textId="77777777" w:rsidR="007437B2" w:rsidRPr="00031A79" w:rsidRDefault="007437B2" w:rsidP="00A141F4">
                          <w:pPr>
                            <w:pStyle w:val="GSKAddress"/>
                            <w:ind w:firstLine="709"/>
                            <w:rPr>
                              <w:rFonts w:ascii="Arial" w:hAnsi="Arial" w:cs="Arial"/>
                            </w:rPr>
                          </w:pPr>
                          <w:r w:rsidRPr="00031A79">
                            <w:rPr>
                              <w:rFonts w:ascii="Arial" w:hAnsi="Arial" w:cs="Arial"/>
                            </w:rPr>
                            <w:t xml:space="preserve">GSK </w:t>
                          </w:r>
                        </w:p>
                        <w:p w14:paraId="57659AF9" w14:textId="0806D128" w:rsidR="007437B2" w:rsidRDefault="00887EB8" w:rsidP="00A141F4">
                          <w:pPr>
                            <w:pStyle w:val="GSKAddress"/>
                            <w:ind w:firstLine="709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Level 4, 436 Johnston St</w:t>
                          </w:r>
                        </w:p>
                        <w:p w14:paraId="0892A395" w14:textId="2E2FB2C8" w:rsidR="00887EB8" w:rsidRPr="00031A79" w:rsidRDefault="00887EB8" w:rsidP="00A141F4">
                          <w:pPr>
                            <w:pStyle w:val="GSKAddress"/>
                            <w:ind w:firstLine="709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Abbotsford VIC 3067</w:t>
                          </w:r>
                        </w:p>
                        <w:p w14:paraId="6FF720B7" w14:textId="15746EB6" w:rsidR="007437B2" w:rsidRDefault="00887EB8" w:rsidP="00A141F4">
                          <w:pPr>
                            <w:pStyle w:val="GSKAddress"/>
                            <w:ind w:firstLine="709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PO Box 18095</w:t>
                          </w:r>
                        </w:p>
                        <w:p w14:paraId="2EC8046D" w14:textId="443A1998" w:rsidR="00887EB8" w:rsidRDefault="00887EB8" w:rsidP="00A141F4">
                          <w:pPr>
                            <w:pStyle w:val="GSKAddress"/>
                            <w:ind w:firstLine="709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Melbourne VIC 8003</w:t>
                          </w:r>
                        </w:p>
                        <w:p w14:paraId="03F4C7E5" w14:textId="7A921283" w:rsidR="00887EB8" w:rsidRPr="00031A79" w:rsidRDefault="00887EB8" w:rsidP="00A141F4">
                          <w:pPr>
                            <w:pStyle w:val="GSKAddress"/>
                            <w:ind w:firstLine="709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Australia</w:t>
                          </w:r>
                        </w:p>
                        <w:p w14:paraId="31AC482C" w14:textId="28D3EF04" w:rsidR="007437B2" w:rsidRDefault="007437B2" w:rsidP="00887EB8">
                          <w:pPr>
                            <w:pStyle w:val="GSKAddress"/>
                            <w:spacing w:before="120"/>
                            <w:ind w:firstLine="709"/>
                            <w:rPr>
                              <w:rFonts w:ascii="Arial" w:hAnsi="Arial" w:cs="Arial"/>
                            </w:rPr>
                          </w:pPr>
                          <w:r w:rsidRPr="00031A79">
                            <w:rPr>
                              <w:rFonts w:ascii="Arial" w:hAnsi="Arial" w:cs="Arial"/>
                            </w:rPr>
                            <w:t>T +</w:t>
                          </w:r>
                          <w:r w:rsidR="00887EB8">
                            <w:rPr>
                              <w:rFonts w:ascii="Arial" w:hAnsi="Arial" w:cs="Arial"/>
                            </w:rPr>
                            <w:t>61 3 9721 6000</w:t>
                          </w:r>
                        </w:p>
                        <w:p w14:paraId="6585349B" w14:textId="0B6EC478" w:rsidR="00887EB8" w:rsidRPr="00031A79" w:rsidRDefault="00887EB8" w:rsidP="00887EB8">
                          <w:pPr>
                            <w:pStyle w:val="GSKAddress"/>
                            <w:spacing w:before="120"/>
                            <w:ind w:firstLine="709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www.au.gsk.com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9275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446.85pt;margin-top:113.35pt;width:124.95pt;height:122.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" filled="f" stroked="f" strokeweight=".5pt">
              <v:textbox inset="0,0,0,0">
                <w:txbxContent>
                  <w:p w14:paraId="79B92163" w14:textId="77777777" w:rsidR="007437B2" w:rsidRPr="00031A79" w:rsidRDefault="007437B2" w:rsidP="00A141F4">
                    <w:pPr>
                      <w:pStyle w:val="GSKAddress"/>
                      <w:ind w:firstLine="709"/>
                      <w:rPr>
                        <w:rFonts w:ascii="Arial" w:hAnsi="Arial" w:cs="Arial"/>
                      </w:rPr>
                    </w:pPr>
                    <w:r w:rsidRPr="00031A79">
                      <w:rPr>
                        <w:rFonts w:ascii="Arial" w:hAnsi="Arial" w:cs="Arial"/>
                      </w:rPr>
                      <w:t xml:space="preserve">GSK </w:t>
                    </w:r>
                  </w:p>
                  <w:p w14:paraId="57659AF9" w14:textId="0806D128" w:rsidR="007437B2" w:rsidRDefault="00887EB8" w:rsidP="00A141F4">
                    <w:pPr>
                      <w:pStyle w:val="GSKAddress"/>
                      <w:ind w:firstLine="709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Level 4, 436 Johnston St</w:t>
                    </w:r>
                  </w:p>
                  <w:p w14:paraId="0892A395" w14:textId="2E2FB2C8" w:rsidR="00887EB8" w:rsidRPr="00031A79" w:rsidRDefault="00887EB8" w:rsidP="00A141F4">
                    <w:pPr>
                      <w:pStyle w:val="GSKAddress"/>
                      <w:ind w:firstLine="709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Abbotsford VIC 3067</w:t>
                    </w:r>
                  </w:p>
                  <w:p w14:paraId="6FF720B7" w14:textId="15746EB6" w:rsidR="007437B2" w:rsidRDefault="00887EB8" w:rsidP="00A141F4">
                    <w:pPr>
                      <w:pStyle w:val="GSKAddress"/>
                      <w:ind w:firstLine="709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PO Box 18095</w:t>
                    </w:r>
                  </w:p>
                  <w:p w14:paraId="2EC8046D" w14:textId="443A1998" w:rsidR="00887EB8" w:rsidRDefault="00887EB8" w:rsidP="00A141F4">
                    <w:pPr>
                      <w:pStyle w:val="GSKAddress"/>
                      <w:ind w:firstLine="709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Melbourne VIC 8003</w:t>
                    </w:r>
                  </w:p>
                  <w:p w14:paraId="03F4C7E5" w14:textId="7A921283" w:rsidR="00887EB8" w:rsidRPr="00031A79" w:rsidRDefault="00887EB8" w:rsidP="00A141F4">
                    <w:pPr>
                      <w:pStyle w:val="GSKAddress"/>
                      <w:ind w:firstLine="709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Australia</w:t>
                    </w:r>
                  </w:p>
                  <w:p w14:paraId="31AC482C" w14:textId="28D3EF04" w:rsidR="007437B2" w:rsidRDefault="007437B2" w:rsidP="00887EB8">
                    <w:pPr>
                      <w:pStyle w:val="GSKAddress"/>
                      <w:spacing w:before="120"/>
                      <w:ind w:firstLine="709"/>
                      <w:rPr>
                        <w:rFonts w:ascii="Arial" w:hAnsi="Arial" w:cs="Arial"/>
                      </w:rPr>
                    </w:pPr>
                    <w:r w:rsidRPr="00031A79">
                      <w:rPr>
                        <w:rFonts w:ascii="Arial" w:hAnsi="Arial" w:cs="Arial"/>
                      </w:rPr>
                      <w:t>T +</w:t>
                    </w:r>
                    <w:r w:rsidR="00887EB8">
                      <w:rPr>
                        <w:rFonts w:ascii="Arial" w:hAnsi="Arial" w:cs="Arial"/>
                      </w:rPr>
                      <w:t>61 3 9721 6000</w:t>
                    </w:r>
                  </w:p>
                  <w:p w14:paraId="6585349B" w14:textId="0B6EC478" w:rsidR="00887EB8" w:rsidRPr="00031A79" w:rsidRDefault="00887EB8" w:rsidP="00887EB8">
                    <w:pPr>
                      <w:pStyle w:val="GSKAddress"/>
                      <w:spacing w:before="120"/>
                      <w:ind w:firstLine="709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www.au.gsk.com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37B2" w:rsidRPr="00C02AB7">
      <w:rPr>
        <w:noProof/>
      </w:rPr>
      <w:drawing>
        <wp:inline distT="0" distB="0" distL="0" distR="0" wp14:anchorId="072BFAAE" wp14:editId="3D3CAAAC">
          <wp:extent cx="551356" cy="149249"/>
          <wp:effectExtent l="0" t="0" r="0" b="317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4120" t="28543" r="14631" b="27883"/>
                  <a:stretch/>
                </pic:blipFill>
                <pic:spPr bwMode="auto">
                  <a:xfrm>
                    <a:off x="0" y="0"/>
                    <a:ext cx="551970" cy="1494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437B2" w:rsidRPr="007437B2">
      <w:rPr>
        <w:noProof/>
      </w:rPr>
      <w:drawing>
        <wp:anchor distT="0" distB="0" distL="114300" distR="114300" simplePos="0" relativeHeight="251658240" behindDoc="0" locked="1" layoutInCell="1" allowOverlap="1" wp14:anchorId="5B6C4A92" wp14:editId="6475A4D2">
          <wp:simplePos x="0" y="0"/>
          <wp:positionH relativeFrom="column">
            <wp:posOffset>5132705</wp:posOffset>
          </wp:positionH>
          <wp:positionV relativeFrom="page">
            <wp:posOffset>181610</wp:posOffset>
          </wp:positionV>
          <wp:extent cx="1109345" cy="110934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1109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20079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6D0F4E"/>
    <w:multiLevelType w:val="multilevel"/>
    <w:tmpl w:val="4C40942A"/>
    <w:lvl w:ilvl="0">
      <w:start w:val="1"/>
      <w:numFmt w:val="bullet"/>
      <w:lvlText w:val="–"/>
      <w:lvlJc w:val="left"/>
      <w:pPr>
        <w:ind w:left="227" w:hanging="227"/>
      </w:pPr>
      <w:rPr>
        <w:rFonts w:ascii="Arial" w:hAnsi="Arial" w:hint="default"/>
        <w:color w:val="000000" w:themeColor="text1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–"/>
      <w:lvlJc w:val="left"/>
      <w:pPr>
        <w:ind w:left="680" w:hanging="226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907" w:hanging="227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–"/>
      <w:lvlJc w:val="left"/>
      <w:pPr>
        <w:ind w:left="1134" w:hanging="227"/>
      </w:pPr>
      <w:rPr>
        <w:rFonts w:ascii="Arial" w:hAnsi="Aria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1361" w:hanging="227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–"/>
      <w:lvlJc w:val="left"/>
      <w:pPr>
        <w:ind w:left="1588" w:hanging="227"/>
      </w:pPr>
      <w:rPr>
        <w:rFonts w:ascii="Arial" w:hAnsi="Arial" w:hint="default"/>
        <w:color w:val="000000" w:themeColor="text1"/>
      </w:rPr>
    </w:lvl>
    <w:lvl w:ilvl="7">
      <w:start w:val="1"/>
      <w:numFmt w:val="bullet"/>
      <w:lvlText w:val="–"/>
      <w:lvlJc w:val="left"/>
      <w:pPr>
        <w:ind w:left="1814" w:hanging="226"/>
      </w:pPr>
      <w:rPr>
        <w:rFonts w:ascii="Arial" w:hAnsi="Arial" w:hint="default"/>
        <w:color w:val="000000" w:themeColor="text1"/>
      </w:rPr>
    </w:lvl>
    <w:lvl w:ilvl="8">
      <w:start w:val="1"/>
      <w:numFmt w:val="bullet"/>
      <w:lvlText w:val="–"/>
      <w:lvlJc w:val="left"/>
      <w:pPr>
        <w:ind w:left="2041" w:hanging="227"/>
      </w:pPr>
      <w:rPr>
        <w:rFonts w:ascii="Arial" w:hAnsi="Arial" w:hint="default"/>
        <w:color w:val="000000" w:themeColor="text1"/>
      </w:rPr>
    </w:lvl>
  </w:abstractNum>
  <w:abstractNum w:abstractNumId="2" w15:restartNumberingAfterBreak="0">
    <w:nsid w:val="2C3B1BD4"/>
    <w:multiLevelType w:val="hybridMultilevel"/>
    <w:tmpl w:val="40625352"/>
    <w:lvl w:ilvl="0" w:tplc="CA80415A">
      <w:start w:val="1"/>
      <w:numFmt w:val="bullet"/>
      <w:pStyle w:val="Bulletedtextlevel1"/>
      <w:lvlText w:val="–"/>
      <w:lvlJc w:val="left"/>
      <w:pPr>
        <w:ind w:left="9360" w:hanging="360"/>
      </w:pPr>
      <w:rPr>
        <w:rFonts w:ascii="Arial" w:hAnsi="Arial" w:hint="default"/>
      </w:rPr>
    </w:lvl>
    <w:lvl w:ilvl="1" w:tplc="7FA8EE38">
      <w:start w:val="1"/>
      <w:numFmt w:val="bullet"/>
      <w:lvlText w:val="–"/>
      <w:lvlJc w:val="left"/>
      <w:pPr>
        <w:ind w:left="10080" w:hanging="360"/>
      </w:pPr>
      <w:rPr>
        <w:rFonts w:ascii="Arial" w:hAnsi="Arial" w:hint="default"/>
      </w:rPr>
    </w:lvl>
    <w:lvl w:ilvl="2" w:tplc="08090005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3" w15:restartNumberingAfterBreak="0">
    <w:nsid w:val="41D8435D"/>
    <w:multiLevelType w:val="multilevel"/>
    <w:tmpl w:val="08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6F43B43"/>
    <w:multiLevelType w:val="hybridMultilevel"/>
    <w:tmpl w:val="51BE5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878612">
    <w:abstractNumId w:val="2"/>
  </w:num>
  <w:num w:numId="2" w16cid:durableId="2026906286">
    <w:abstractNumId w:val="0"/>
  </w:num>
  <w:num w:numId="3" w16cid:durableId="1379279871">
    <w:abstractNumId w:val="3"/>
  </w:num>
  <w:num w:numId="4" w16cid:durableId="436103839">
    <w:abstractNumId w:val="1"/>
  </w:num>
  <w:num w:numId="5" w16cid:durableId="1012948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6B"/>
    <w:rsid w:val="00003CB9"/>
    <w:rsid w:val="000252E6"/>
    <w:rsid w:val="00031A79"/>
    <w:rsid w:val="00037B74"/>
    <w:rsid w:val="0004636F"/>
    <w:rsid w:val="00053F30"/>
    <w:rsid w:val="00054CE6"/>
    <w:rsid w:val="000763F4"/>
    <w:rsid w:val="000770CE"/>
    <w:rsid w:val="00080EB7"/>
    <w:rsid w:val="00095BE5"/>
    <w:rsid w:val="000C040C"/>
    <w:rsid w:val="000C7311"/>
    <w:rsid w:val="000F0B1C"/>
    <w:rsid w:val="000F0C8B"/>
    <w:rsid w:val="000F1BE6"/>
    <w:rsid w:val="00100DAF"/>
    <w:rsid w:val="00101AB4"/>
    <w:rsid w:val="001118D8"/>
    <w:rsid w:val="00145628"/>
    <w:rsid w:val="001470E1"/>
    <w:rsid w:val="00163B89"/>
    <w:rsid w:val="001670CB"/>
    <w:rsid w:val="0016716F"/>
    <w:rsid w:val="00177C84"/>
    <w:rsid w:val="00190F0E"/>
    <w:rsid w:val="00194762"/>
    <w:rsid w:val="00194D7E"/>
    <w:rsid w:val="001959D2"/>
    <w:rsid w:val="00197740"/>
    <w:rsid w:val="001C13C7"/>
    <w:rsid w:val="001E5EA3"/>
    <w:rsid w:val="001E7424"/>
    <w:rsid w:val="001F0538"/>
    <w:rsid w:val="001F1D8D"/>
    <w:rsid w:val="001F582A"/>
    <w:rsid w:val="00202587"/>
    <w:rsid w:val="00211DF2"/>
    <w:rsid w:val="00215484"/>
    <w:rsid w:val="00224A3D"/>
    <w:rsid w:val="00225C14"/>
    <w:rsid w:val="00254B65"/>
    <w:rsid w:val="002601D3"/>
    <w:rsid w:val="0027590B"/>
    <w:rsid w:val="00293AC2"/>
    <w:rsid w:val="002A1F58"/>
    <w:rsid w:val="002B01FE"/>
    <w:rsid w:val="002B035D"/>
    <w:rsid w:val="002B0680"/>
    <w:rsid w:val="002C040F"/>
    <w:rsid w:val="002D2DDC"/>
    <w:rsid w:val="002D3D4A"/>
    <w:rsid w:val="002E600E"/>
    <w:rsid w:val="002F1D33"/>
    <w:rsid w:val="002F201C"/>
    <w:rsid w:val="00307550"/>
    <w:rsid w:val="0031038E"/>
    <w:rsid w:val="00315F87"/>
    <w:rsid w:val="00334FF6"/>
    <w:rsid w:val="00340464"/>
    <w:rsid w:val="003652E9"/>
    <w:rsid w:val="00372CD1"/>
    <w:rsid w:val="00383BB6"/>
    <w:rsid w:val="00384883"/>
    <w:rsid w:val="003C72EA"/>
    <w:rsid w:val="003F11D2"/>
    <w:rsid w:val="003F2D5F"/>
    <w:rsid w:val="003F2ECA"/>
    <w:rsid w:val="003F45FB"/>
    <w:rsid w:val="003F68D2"/>
    <w:rsid w:val="00415865"/>
    <w:rsid w:val="00421C65"/>
    <w:rsid w:val="004511B0"/>
    <w:rsid w:val="00457D6F"/>
    <w:rsid w:val="004615F3"/>
    <w:rsid w:val="00486024"/>
    <w:rsid w:val="00493294"/>
    <w:rsid w:val="004B0097"/>
    <w:rsid w:val="004B2C7D"/>
    <w:rsid w:val="004B47A0"/>
    <w:rsid w:val="004C08B4"/>
    <w:rsid w:val="004D096D"/>
    <w:rsid w:val="004D234D"/>
    <w:rsid w:val="004D7DA4"/>
    <w:rsid w:val="004E0410"/>
    <w:rsid w:val="004E1693"/>
    <w:rsid w:val="004E2BC5"/>
    <w:rsid w:val="00514D5B"/>
    <w:rsid w:val="005158B8"/>
    <w:rsid w:val="005318BE"/>
    <w:rsid w:val="005364E1"/>
    <w:rsid w:val="005516E0"/>
    <w:rsid w:val="005638AF"/>
    <w:rsid w:val="00582DBD"/>
    <w:rsid w:val="00590053"/>
    <w:rsid w:val="005B1DAF"/>
    <w:rsid w:val="005B5167"/>
    <w:rsid w:val="005C6C11"/>
    <w:rsid w:val="005D3F90"/>
    <w:rsid w:val="005E2A6E"/>
    <w:rsid w:val="005E6CEC"/>
    <w:rsid w:val="005E79E7"/>
    <w:rsid w:val="005F08CB"/>
    <w:rsid w:val="00601748"/>
    <w:rsid w:val="00604173"/>
    <w:rsid w:val="00605849"/>
    <w:rsid w:val="00610977"/>
    <w:rsid w:val="006170C5"/>
    <w:rsid w:val="006466D4"/>
    <w:rsid w:val="0065199E"/>
    <w:rsid w:val="006551FD"/>
    <w:rsid w:val="006748BF"/>
    <w:rsid w:val="00693ED0"/>
    <w:rsid w:val="00695585"/>
    <w:rsid w:val="006A6B97"/>
    <w:rsid w:val="006B3C01"/>
    <w:rsid w:val="006C519A"/>
    <w:rsid w:val="006D62ED"/>
    <w:rsid w:val="006E0CC7"/>
    <w:rsid w:val="006E2462"/>
    <w:rsid w:val="006E2764"/>
    <w:rsid w:val="006E3EF7"/>
    <w:rsid w:val="006E60B0"/>
    <w:rsid w:val="007036B7"/>
    <w:rsid w:val="0071359E"/>
    <w:rsid w:val="007142DD"/>
    <w:rsid w:val="007234FB"/>
    <w:rsid w:val="00723609"/>
    <w:rsid w:val="007253BD"/>
    <w:rsid w:val="00736FD0"/>
    <w:rsid w:val="007437B2"/>
    <w:rsid w:val="00762FBD"/>
    <w:rsid w:val="00766D5B"/>
    <w:rsid w:val="00794D5A"/>
    <w:rsid w:val="007A0138"/>
    <w:rsid w:val="007A33D6"/>
    <w:rsid w:val="007C1469"/>
    <w:rsid w:val="007C15CC"/>
    <w:rsid w:val="007C487C"/>
    <w:rsid w:val="007C66C2"/>
    <w:rsid w:val="00802C05"/>
    <w:rsid w:val="00807D70"/>
    <w:rsid w:val="008167EC"/>
    <w:rsid w:val="008274F8"/>
    <w:rsid w:val="00841919"/>
    <w:rsid w:val="008562F8"/>
    <w:rsid w:val="00863836"/>
    <w:rsid w:val="00863F74"/>
    <w:rsid w:val="00873444"/>
    <w:rsid w:val="00882827"/>
    <w:rsid w:val="00887EB8"/>
    <w:rsid w:val="00891203"/>
    <w:rsid w:val="008915EC"/>
    <w:rsid w:val="008930A3"/>
    <w:rsid w:val="00897148"/>
    <w:rsid w:val="008A7996"/>
    <w:rsid w:val="008B1EDD"/>
    <w:rsid w:val="008B2A56"/>
    <w:rsid w:val="008C0A9C"/>
    <w:rsid w:val="008C3C3B"/>
    <w:rsid w:val="008D47F5"/>
    <w:rsid w:val="008E436C"/>
    <w:rsid w:val="008E50FE"/>
    <w:rsid w:val="009042D1"/>
    <w:rsid w:val="0093096E"/>
    <w:rsid w:val="009571BC"/>
    <w:rsid w:val="00987174"/>
    <w:rsid w:val="009878F9"/>
    <w:rsid w:val="00996C23"/>
    <w:rsid w:val="009A4209"/>
    <w:rsid w:val="009B4EB0"/>
    <w:rsid w:val="009C0940"/>
    <w:rsid w:val="009C2981"/>
    <w:rsid w:val="009C42C4"/>
    <w:rsid w:val="009E7384"/>
    <w:rsid w:val="00A01F2F"/>
    <w:rsid w:val="00A141F4"/>
    <w:rsid w:val="00A2292A"/>
    <w:rsid w:val="00A22E52"/>
    <w:rsid w:val="00A23F5E"/>
    <w:rsid w:val="00A30366"/>
    <w:rsid w:val="00A35782"/>
    <w:rsid w:val="00A3632F"/>
    <w:rsid w:val="00A901AE"/>
    <w:rsid w:val="00AA7DCE"/>
    <w:rsid w:val="00AC119D"/>
    <w:rsid w:val="00AD1988"/>
    <w:rsid w:val="00AE0836"/>
    <w:rsid w:val="00AE2423"/>
    <w:rsid w:val="00AE2A37"/>
    <w:rsid w:val="00B0094D"/>
    <w:rsid w:val="00B06086"/>
    <w:rsid w:val="00B06DDA"/>
    <w:rsid w:val="00B305E1"/>
    <w:rsid w:val="00B40DCB"/>
    <w:rsid w:val="00B45994"/>
    <w:rsid w:val="00B47F0B"/>
    <w:rsid w:val="00B51343"/>
    <w:rsid w:val="00B5711A"/>
    <w:rsid w:val="00B67018"/>
    <w:rsid w:val="00B76FA9"/>
    <w:rsid w:val="00B82457"/>
    <w:rsid w:val="00B9601B"/>
    <w:rsid w:val="00BA082A"/>
    <w:rsid w:val="00BA54C6"/>
    <w:rsid w:val="00BB5D4B"/>
    <w:rsid w:val="00BB605F"/>
    <w:rsid w:val="00BB6F58"/>
    <w:rsid w:val="00BC375C"/>
    <w:rsid w:val="00BE0618"/>
    <w:rsid w:val="00BF4EEB"/>
    <w:rsid w:val="00BF71D3"/>
    <w:rsid w:val="00C03758"/>
    <w:rsid w:val="00C07DFF"/>
    <w:rsid w:val="00C266FC"/>
    <w:rsid w:val="00C315C0"/>
    <w:rsid w:val="00C50ADB"/>
    <w:rsid w:val="00C5352E"/>
    <w:rsid w:val="00C65030"/>
    <w:rsid w:val="00C67941"/>
    <w:rsid w:val="00C74B71"/>
    <w:rsid w:val="00C74E3B"/>
    <w:rsid w:val="00C7520A"/>
    <w:rsid w:val="00C75A05"/>
    <w:rsid w:val="00CA136C"/>
    <w:rsid w:val="00CC444E"/>
    <w:rsid w:val="00CD5FDC"/>
    <w:rsid w:val="00CE2344"/>
    <w:rsid w:val="00CE244E"/>
    <w:rsid w:val="00CF3A03"/>
    <w:rsid w:val="00CF77B5"/>
    <w:rsid w:val="00D036BC"/>
    <w:rsid w:val="00D14DD5"/>
    <w:rsid w:val="00D40172"/>
    <w:rsid w:val="00D51943"/>
    <w:rsid w:val="00D55115"/>
    <w:rsid w:val="00D55B8A"/>
    <w:rsid w:val="00D56495"/>
    <w:rsid w:val="00D828E6"/>
    <w:rsid w:val="00DA0192"/>
    <w:rsid w:val="00DA5B52"/>
    <w:rsid w:val="00DB560B"/>
    <w:rsid w:val="00DC2620"/>
    <w:rsid w:val="00DC6B33"/>
    <w:rsid w:val="00DE25D5"/>
    <w:rsid w:val="00E040B9"/>
    <w:rsid w:val="00E2346B"/>
    <w:rsid w:val="00E238E3"/>
    <w:rsid w:val="00E31C1A"/>
    <w:rsid w:val="00E47B1C"/>
    <w:rsid w:val="00E5310D"/>
    <w:rsid w:val="00E55F09"/>
    <w:rsid w:val="00E66E0B"/>
    <w:rsid w:val="00E71A4E"/>
    <w:rsid w:val="00E730C8"/>
    <w:rsid w:val="00E75382"/>
    <w:rsid w:val="00E80E22"/>
    <w:rsid w:val="00E82BCC"/>
    <w:rsid w:val="00E84B68"/>
    <w:rsid w:val="00E9015A"/>
    <w:rsid w:val="00E96824"/>
    <w:rsid w:val="00EE7F1B"/>
    <w:rsid w:val="00EF308C"/>
    <w:rsid w:val="00EF3118"/>
    <w:rsid w:val="00EF53AA"/>
    <w:rsid w:val="00EF5CF7"/>
    <w:rsid w:val="00F038E4"/>
    <w:rsid w:val="00F06329"/>
    <w:rsid w:val="00F277FC"/>
    <w:rsid w:val="00F27B66"/>
    <w:rsid w:val="00F43353"/>
    <w:rsid w:val="00F54B88"/>
    <w:rsid w:val="00F70AD3"/>
    <w:rsid w:val="00F74341"/>
    <w:rsid w:val="00F8028D"/>
    <w:rsid w:val="00F970BD"/>
    <w:rsid w:val="00FB7186"/>
    <w:rsid w:val="00FC68BB"/>
    <w:rsid w:val="00FE07EB"/>
    <w:rsid w:val="00FE447B"/>
    <w:rsid w:val="00FE5833"/>
    <w:rsid w:val="00F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E5A0E"/>
  <w15:docId w15:val="{8FDF0375-0C30-4AD9-8394-742744A8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000000" w:themeColor="text1"/>
        <w:szCs w:val="5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6824"/>
    <w:pPr>
      <w:spacing w:after="0" w:line="240" w:lineRule="auto"/>
    </w:pPr>
    <w:rPr>
      <w:rFonts w:eastAsiaTheme="minorEastAsia"/>
      <w:lang w:eastAsia="en-US"/>
    </w:rPr>
  </w:style>
  <w:style w:type="paragraph" w:styleId="Heading1">
    <w:name w:val="heading 1"/>
    <w:next w:val="Normal"/>
    <w:link w:val="Heading1Char"/>
    <w:uiPriority w:val="9"/>
    <w:rsid w:val="00897148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F36633" w:themeColor="text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E2423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DBD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82DBD"/>
    <w:rPr>
      <w:rFonts w:ascii="Arial" w:hAnsi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FE07EB"/>
    <w:pPr>
      <w:tabs>
        <w:tab w:val="center" w:pos="4513"/>
        <w:tab w:val="right" w:pos="9026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FE07EB"/>
    <w:rPr>
      <w:color w:val="000000" w:themeColor="text1"/>
      <w:sz w:val="15"/>
    </w:rPr>
  </w:style>
  <w:style w:type="paragraph" w:customStyle="1" w:styleId="Primarycoverheading">
    <w:name w:val="Primary cover heading"/>
    <w:qFormat/>
    <w:rsid w:val="00AE2423"/>
    <w:pPr>
      <w:spacing w:after="0" w:line="240" w:lineRule="auto"/>
    </w:pPr>
    <w:rPr>
      <w:rFonts w:ascii="Arial" w:hAnsi="Arial"/>
      <w:b/>
      <w:sz w:val="48"/>
      <w:szCs w:val="26"/>
    </w:rPr>
  </w:style>
  <w:style w:type="paragraph" w:customStyle="1" w:styleId="Supportingheading">
    <w:name w:val="Supporting heading"/>
    <w:qFormat/>
    <w:rsid w:val="009042D1"/>
    <w:pPr>
      <w:spacing w:after="0" w:line="240" w:lineRule="auto"/>
    </w:pPr>
    <w:rPr>
      <w:rFonts w:ascii="Arial" w:hAnsi="Arial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423"/>
    <w:rPr>
      <w:rFonts w:ascii="Arial" w:eastAsiaTheme="majorEastAsia" w:hAnsi="Arial" w:cstheme="majorBidi"/>
      <w:b/>
      <w:szCs w:val="26"/>
    </w:rPr>
  </w:style>
  <w:style w:type="paragraph" w:customStyle="1" w:styleId="Primarypageheading">
    <w:name w:val="Primary page heading"/>
    <w:qFormat/>
    <w:rsid w:val="00BC375C"/>
    <w:pPr>
      <w:spacing w:after="0" w:line="240" w:lineRule="auto"/>
    </w:pPr>
    <w:rPr>
      <w:rFonts w:ascii="Arial" w:hAnsi="Arial"/>
      <w:sz w:val="32"/>
    </w:rPr>
  </w:style>
  <w:style w:type="paragraph" w:customStyle="1" w:styleId="Bodyheading">
    <w:name w:val="Body heading"/>
    <w:basedOn w:val="Bodycopy"/>
    <w:qFormat/>
    <w:rsid w:val="00897148"/>
    <w:rPr>
      <w:b/>
      <w:color w:val="F36633" w:themeColor="text2"/>
    </w:rPr>
  </w:style>
  <w:style w:type="paragraph" w:customStyle="1" w:styleId="Bodysubheading">
    <w:name w:val="Body subheading"/>
    <w:qFormat/>
    <w:rsid w:val="00582DBD"/>
    <w:pPr>
      <w:spacing w:after="0" w:line="240" w:lineRule="auto"/>
    </w:pPr>
    <w:rPr>
      <w:rFonts w:ascii="Arial" w:hAnsi="Arial" w:cstheme="majorHAnsi"/>
      <w:b/>
    </w:rPr>
  </w:style>
  <w:style w:type="paragraph" w:customStyle="1" w:styleId="Bodycopy">
    <w:name w:val="Body copy"/>
    <w:qFormat/>
    <w:rsid w:val="00582DBD"/>
    <w:pPr>
      <w:spacing w:after="0" w:line="240" w:lineRule="auto"/>
    </w:pPr>
    <w:rPr>
      <w:rFonts w:ascii="Arial" w:hAnsi="Arial"/>
    </w:rPr>
  </w:style>
  <w:style w:type="paragraph" w:customStyle="1" w:styleId="Bulletedtextlevel1">
    <w:name w:val="Bulleted text level 1"/>
    <w:basedOn w:val="Bodycopy"/>
    <w:qFormat/>
    <w:rsid w:val="000F0B1C"/>
    <w:pPr>
      <w:numPr>
        <w:numId w:val="1"/>
      </w:numPr>
      <w:spacing w:after="60"/>
      <w:ind w:left="227" w:hanging="227"/>
      <w:contextualSpacing/>
    </w:pPr>
  </w:style>
  <w:style w:type="paragraph" w:customStyle="1" w:styleId="Bulletedtextlevel2">
    <w:name w:val="Bulleted text level 2"/>
    <w:basedOn w:val="Bulletedtextlevel1"/>
    <w:qFormat/>
    <w:rsid w:val="00B9601B"/>
    <w:pPr>
      <w:ind w:left="476" w:hanging="238"/>
    </w:pPr>
  </w:style>
  <w:style w:type="paragraph" w:styleId="ListBullet">
    <w:name w:val="List Bullet"/>
    <w:basedOn w:val="Normal"/>
    <w:uiPriority w:val="99"/>
    <w:semiHidden/>
    <w:unhideWhenUsed/>
    <w:rsid w:val="000F0B1C"/>
    <w:pPr>
      <w:numPr>
        <w:numId w:val="2"/>
      </w:numPr>
      <w:contextualSpacing/>
    </w:pPr>
  </w:style>
  <w:style w:type="paragraph" w:customStyle="1" w:styleId="Legalcopy">
    <w:name w:val="Legal copy"/>
    <w:qFormat/>
    <w:rsid w:val="00582DBD"/>
    <w:pPr>
      <w:spacing w:after="0" w:line="240" w:lineRule="auto"/>
    </w:pPr>
    <w:rPr>
      <w:rFonts w:ascii="Arial" w:hAnsi="Arial"/>
      <w:sz w:val="15"/>
      <w:szCs w:val="15"/>
    </w:rPr>
  </w:style>
  <w:style w:type="paragraph" w:customStyle="1" w:styleId="Bulletedtextlevel3">
    <w:name w:val="Bulleted text level 3"/>
    <w:basedOn w:val="Bulletedtextlevel2"/>
    <w:qFormat/>
    <w:rsid w:val="00B9601B"/>
    <w:pPr>
      <w:ind w:left="726"/>
    </w:pPr>
  </w:style>
  <w:style w:type="numbering" w:customStyle="1" w:styleId="Style1">
    <w:name w:val="Style1"/>
    <w:uiPriority w:val="99"/>
    <w:rsid w:val="00FE447B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883"/>
    <w:rPr>
      <w:rFonts w:ascii="Tahoma" w:hAnsi="Tahoma" w:cs="Tahoma"/>
      <w:sz w:val="16"/>
      <w:szCs w:val="16"/>
    </w:rPr>
  </w:style>
  <w:style w:type="table" w:customStyle="1" w:styleId="GSKtablestyle1">
    <w:name w:val="GSK table style 1"/>
    <w:basedOn w:val="TableNormal"/>
    <w:uiPriority w:val="99"/>
    <w:rsid w:val="00736FD0"/>
    <w:pPr>
      <w:spacing w:after="0" w:line="240" w:lineRule="auto"/>
    </w:pPr>
    <w:rPr>
      <w:szCs w:val="20"/>
    </w:rPr>
    <w:tblPr>
      <w:tblStyleRowBandSize w:val="1"/>
      <w:tblBorders>
        <w:insideH w:val="single" w:sz="4" w:space="0" w:color="000000" w:themeColor="text1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20" w:beforeAutospacing="0" w:afterLines="0" w:after="20" w:afterAutospacing="0" w:line="240" w:lineRule="auto"/>
        <w:jc w:val="left"/>
      </w:pPr>
      <w:rPr>
        <w:rFonts w:asciiTheme="majorHAnsi" w:hAnsiTheme="majorHAnsi"/>
        <w:b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6658A6" w:themeFill="accent1"/>
      </w:tcPr>
    </w:tblStylePr>
    <w:tblStylePr w:type="lastRow">
      <w:rPr>
        <w:rFonts w:asciiTheme="majorHAnsi" w:hAnsiTheme="majorHAnsi"/>
        <w:b/>
        <w:caps w:val="0"/>
        <w:smallCaps w:val="0"/>
        <w:strike w:val="0"/>
        <w:dstrike w:val="0"/>
        <w:vanish w:val="0"/>
        <w:color w:val="FFFFFF" w:themeColor="background1"/>
        <w:sz w:val="20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auto" w:fill="000000" w:themeFill="text1"/>
      </w:tcPr>
    </w:tblStylePr>
    <w:tblStylePr w:type="band1Horz">
      <w:pPr>
        <w:wordWrap/>
        <w:spacing w:beforeLines="0" w:before="20" w:beforeAutospacing="0" w:afterLines="0" w:after="20" w:afterAutospacing="0" w:line="240" w:lineRule="auto"/>
        <w:jc w:val="left"/>
      </w:pPr>
      <w:rPr>
        <w:rFonts w:ascii="Arial" w:hAnsi="Arial"/>
        <w:color w:val="000000" w:themeColor="text1"/>
        <w:sz w:val="20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V w:val="nil"/>
        </w:tcBorders>
        <w:vAlign w:val="top"/>
      </w:tcPr>
    </w:tblStylePr>
    <w:tblStylePr w:type="band2Horz">
      <w:pPr>
        <w:wordWrap/>
        <w:spacing w:beforeLines="0" w:before="20" w:beforeAutospacing="0" w:afterLines="0" w:after="20" w:afterAutospacing="0" w:line="240" w:lineRule="auto"/>
        <w:jc w:val="left"/>
      </w:pPr>
      <w:rPr>
        <w:rFonts w:ascii="Arial" w:hAnsi="Arial"/>
        <w:color w:val="000000" w:themeColor="text1"/>
        <w:sz w:val="20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8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36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AA7DC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5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58A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58A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58A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58A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ABD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ABD2" w:themeFill="accent1" w:themeFillTint="7F"/>
      </w:tcPr>
    </w:tblStylePr>
  </w:style>
  <w:style w:type="table" w:customStyle="1" w:styleId="GSKtablestyle2">
    <w:name w:val="GSK table style 2"/>
    <w:basedOn w:val="GSKtablestyle1"/>
    <w:uiPriority w:val="99"/>
    <w:rsid w:val="00736FD0"/>
    <w:tblPr/>
    <w:tblStylePr w:type="firstRow">
      <w:pPr>
        <w:wordWrap/>
        <w:spacing w:beforeLines="0" w:before="20" w:beforeAutospacing="0" w:afterLines="0" w:after="20" w:afterAutospacing="0" w:line="240" w:lineRule="auto"/>
        <w:jc w:val="left"/>
      </w:pPr>
      <w:rPr>
        <w:rFonts w:asciiTheme="majorHAnsi" w:hAnsiTheme="majorHAnsi"/>
        <w:b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6658A6" w:themeFill="accent1"/>
      </w:tcPr>
    </w:tblStylePr>
    <w:tblStylePr w:type="lastRow">
      <w:rPr>
        <w:rFonts w:asciiTheme="majorHAnsi" w:hAnsiTheme="majorHAnsi"/>
        <w:b/>
        <w:caps w:val="0"/>
        <w:smallCaps w:val="0"/>
        <w:strike w:val="0"/>
        <w:dstrike w:val="0"/>
        <w:vanish w:val="0"/>
        <w:color w:val="FFFFFF" w:themeColor="background1"/>
        <w:sz w:val="20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auto" w:fill="000000" w:themeFill="text1"/>
      </w:tcPr>
    </w:tblStylePr>
    <w:tblStylePr w:type="band1Horz">
      <w:pPr>
        <w:wordWrap/>
        <w:spacing w:beforeLines="0" w:before="20" w:beforeAutospacing="0" w:afterLines="0" w:after="20" w:afterAutospacing="0" w:line="240" w:lineRule="auto"/>
        <w:jc w:val="left"/>
      </w:pPr>
      <w:rPr>
        <w:rFonts w:ascii="Arial" w:hAnsi="Arial"/>
        <w:color w:val="000000" w:themeColor="text1"/>
        <w:sz w:val="20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V w:val="nil"/>
        </w:tcBorders>
        <w:shd w:val="clear" w:color="auto" w:fill="69B445" w:themeFill="accent3"/>
        <w:vAlign w:val="top"/>
      </w:tcPr>
    </w:tblStylePr>
    <w:tblStylePr w:type="band2Horz">
      <w:pPr>
        <w:wordWrap/>
        <w:spacing w:beforeLines="0" w:before="20" w:beforeAutospacing="0" w:afterLines="0" w:after="20" w:afterAutospacing="0" w:line="240" w:lineRule="auto"/>
        <w:jc w:val="left"/>
      </w:pPr>
      <w:rPr>
        <w:rFonts w:ascii="Arial" w:hAnsi="Arial"/>
        <w:color w:val="000000" w:themeColor="text1"/>
        <w:sz w:val="20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table" w:customStyle="1" w:styleId="GSKtablestyle3">
    <w:name w:val="GSK table style 3"/>
    <w:basedOn w:val="TableGrid1"/>
    <w:uiPriority w:val="99"/>
    <w:rsid w:val="006748BF"/>
    <w:rPr>
      <w:szCs w:val="20"/>
      <w:lang w:val="en-US" w:eastAsia="en-GB" w:bidi="hi-IN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000000" w:themeColor="text1"/>
        <w:insideV w:val="none" w:sz="0" w:space="0" w:color="auto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b/>
        <w:color w:val="6658A6" w:themeColor="accent1"/>
        <w:sz w:val="20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35782"/>
    <w:pPr>
      <w:spacing w:after="0" w:line="24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magecaption">
    <w:name w:val="Image caption"/>
    <w:qFormat/>
    <w:rsid w:val="00582DBD"/>
    <w:pPr>
      <w:spacing w:before="100" w:after="0" w:line="240" w:lineRule="auto"/>
    </w:pPr>
    <w:rPr>
      <w:rFonts w:ascii="Arial" w:hAnsi="Arial"/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BA082A"/>
  </w:style>
  <w:style w:type="character" w:customStyle="1" w:styleId="Heading1Char">
    <w:name w:val="Heading 1 Char"/>
    <w:basedOn w:val="DefaultParagraphFont"/>
    <w:link w:val="Heading1"/>
    <w:uiPriority w:val="9"/>
    <w:rsid w:val="00897148"/>
    <w:rPr>
      <w:rFonts w:ascii="Arial" w:eastAsiaTheme="majorEastAsia" w:hAnsi="Arial" w:cstheme="majorBidi"/>
      <w:b/>
      <w:color w:val="F36633" w:themeColor="text2"/>
      <w:szCs w:val="32"/>
    </w:rPr>
  </w:style>
  <w:style w:type="paragraph" w:customStyle="1" w:styleId="Primarycoverheading-orange">
    <w:name w:val="Primary cover heading - orange"/>
    <w:basedOn w:val="Primarycoverheading"/>
    <w:rsid w:val="00897148"/>
    <w:rPr>
      <w:color w:val="F36633" w:themeColor="text2"/>
    </w:rPr>
  </w:style>
  <w:style w:type="paragraph" w:customStyle="1" w:styleId="Introcopy">
    <w:name w:val="Intro copy"/>
    <w:basedOn w:val="Bodycopy"/>
    <w:rsid w:val="009042D1"/>
    <w:rPr>
      <w:sz w:val="24"/>
    </w:rPr>
  </w:style>
  <w:style w:type="paragraph" w:customStyle="1" w:styleId="Primarypageheading-orange">
    <w:name w:val="Primary page heading - orange"/>
    <w:basedOn w:val="Primarypageheading"/>
    <w:rsid w:val="009042D1"/>
    <w:rPr>
      <w:color w:val="F36633" w:themeColor="text2"/>
    </w:rPr>
  </w:style>
  <w:style w:type="paragraph" w:customStyle="1" w:styleId="RecipientAddress">
    <w:name w:val="Recipient Address"/>
    <w:qFormat/>
    <w:rsid w:val="007437B2"/>
    <w:pPr>
      <w:spacing w:after="0" w:line="240" w:lineRule="auto"/>
    </w:pPr>
    <w:rPr>
      <w:rFonts w:cstheme="minorBidi"/>
      <w:szCs w:val="22"/>
      <w:lang w:eastAsia="en-US"/>
    </w:rPr>
  </w:style>
  <w:style w:type="paragraph" w:customStyle="1" w:styleId="Reference">
    <w:name w:val="Reference"/>
    <w:basedOn w:val="Bodycopy"/>
    <w:qFormat/>
    <w:rsid w:val="007437B2"/>
    <w:pPr>
      <w:spacing w:before="240" w:after="480"/>
    </w:pPr>
    <w:rPr>
      <w:rFonts w:asciiTheme="minorHAnsi" w:hAnsiTheme="minorHAnsi"/>
      <w:b/>
      <w:lang w:eastAsia="en-US"/>
    </w:rPr>
  </w:style>
  <w:style w:type="paragraph" w:customStyle="1" w:styleId="NameSurname">
    <w:name w:val="Name Surname"/>
    <w:basedOn w:val="Bodycopy"/>
    <w:qFormat/>
    <w:rsid w:val="007437B2"/>
    <w:pPr>
      <w:spacing w:before="720"/>
    </w:pPr>
    <w:rPr>
      <w:rFonts w:asciiTheme="minorHAnsi" w:hAnsiTheme="minorHAnsi"/>
      <w:b/>
      <w:lang w:eastAsia="en-US"/>
    </w:rPr>
  </w:style>
  <w:style w:type="paragraph" w:customStyle="1" w:styleId="Jobtitle">
    <w:name w:val="Job title"/>
    <w:basedOn w:val="Bodycopy"/>
    <w:qFormat/>
    <w:rsid w:val="007437B2"/>
    <w:rPr>
      <w:rFonts w:asciiTheme="minorHAnsi" w:hAnsiTheme="minorHAnsi"/>
      <w:lang w:eastAsia="en-US"/>
    </w:rPr>
  </w:style>
  <w:style w:type="paragraph" w:customStyle="1" w:styleId="GSKAddress">
    <w:name w:val="GSK Address"/>
    <w:qFormat/>
    <w:rsid w:val="007437B2"/>
    <w:pPr>
      <w:spacing w:after="0" w:line="240" w:lineRule="auto"/>
    </w:pPr>
    <w:rPr>
      <w:rFonts w:cstheme="minorBidi"/>
      <w:sz w:val="16"/>
      <w:szCs w:val="22"/>
      <w:lang w:eastAsia="en-US"/>
    </w:rPr>
  </w:style>
  <w:style w:type="paragraph" w:customStyle="1" w:styleId="RegisteredInformation">
    <w:name w:val="Registered Information"/>
    <w:qFormat/>
    <w:rsid w:val="007437B2"/>
    <w:pPr>
      <w:spacing w:after="0" w:line="240" w:lineRule="auto"/>
    </w:pPr>
    <w:rPr>
      <w:rFonts w:cstheme="minorBidi"/>
      <w:color w:val="auto"/>
      <w:sz w:val="1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310D"/>
    <w:pPr>
      <w:spacing w:after="160" w:line="259" w:lineRule="auto"/>
      <w:ind w:left="720"/>
      <w:contextualSpacing/>
    </w:pPr>
    <w:rPr>
      <w:rFonts w:eastAsiaTheme="minorHAnsi" w:cstheme="minorBidi"/>
      <w:color w:val="auto"/>
      <w:sz w:val="22"/>
      <w:szCs w:val="22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rsid w:val="00E5310D"/>
    <w:pPr>
      <w:spacing w:after="160"/>
    </w:pPr>
    <w:rPr>
      <w:rFonts w:eastAsiaTheme="minorHAnsi" w:cstheme="minorBidi"/>
      <w:color w:val="auto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310D"/>
    <w:rPr>
      <w:rFonts w:cstheme="minorBidi"/>
      <w:color w:val="auto"/>
      <w:szCs w:val="20"/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5310D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E5310D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96D"/>
    <w:pPr>
      <w:spacing w:after="0"/>
    </w:pPr>
    <w:rPr>
      <w:rFonts w:eastAsiaTheme="minorEastAsia" w:cstheme="minorHAnsi"/>
      <w:b/>
      <w:bCs/>
      <w:color w:val="000000" w:themeColor="text1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96D"/>
    <w:rPr>
      <w:rFonts w:eastAsiaTheme="minorEastAsia" w:cstheme="minorBidi"/>
      <w:b/>
      <w:bCs/>
      <w:color w:val="auto"/>
      <w:szCs w:val="20"/>
      <w:lang w:val="en-AU" w:eastAsia="en-US"/>
    </w:rPr>
  </w:style>
  <w:style w:type="paragraph" w:styleId="Revision">
    <w:name w:val="Revision"/>
    <w:hidden/>
    <w:uiPriority w:val="99"/>
    <w:semiHidden/>
    <w:rsid w:val="001118D8"/>
    <w:pPr>
      <w:spacing w:after="0" w:line="240" w:lineRule="auto"/>
    </w:pPr>
    <w:rPr>
      <w:rFonts w:eastAsiaTheme="minorEastAs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4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64716\OneDrive%20-%20GSK\Documents\FUTURE%20READY\Templates\GSK%20-%20Word%20Template%20Updates_02\27238_GSK_A4_Letterhead_MS_Word_template_Updates02.dotx" TargetMode="External"/></Relationships>
</file>

<file path=word/theme/theme1.xml><?xml version="1.0" encoding="utf-8"?>
<a:theme xmlns:a="http://schemas.openxmlformats.org/drawingml/2006/main" name="Headlines">
  <a:themeElements>
    <a:clrScheme name="GSK Template Update">
      <a:dk1>
        <a:srgbClr val="000000"/>
      </a:dk1>
      <a:lt1>
        <a:srgbClr val="FFFFFF"/>
      </a:lt1>
      <a:dk2>
        <a:srgbClr val="F36633"/>
      </a:dk2>
      <a:lt2>
        <a:srgbClr val="959595"/>
      </a:lt2>
      <a:accent1>
        <a:srgbClr val="6658A6"/>
      </a:accent1>
      <a:accent2>
        <a:srgbClr val="E21860"/>
      </a:accent2>
      <a:accent3>
        <a:srgbClr val="69B445"/>
      </a:accent3>
      <a:accent4>
        <a:srgbClr val="244EA2"/>
      </a:accent4>
      <a:accent5>
        <a:srgbClr val="FFC709"/>
      </a:accent5>
      <a:accent6>
        <a:srgbClr val="DC4133"/>
      </a:accent6>
      <a:hlink>
        <a:srgbClr val="000000"/>
      </a:hlink>
      <a:folHlink>
        <a:srgbClr val="95959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eadlines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100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88900" dist="25400" dir="10800000">
              <a:srgbClr val="000000">
                <a:alpha val="25000"/>
              </a:srgbClr>
            </a:innerShdw>
            <a:outerShdw blurRad="25400" dist="25400" dir="5400000" rotWithShape="0">
              <a:srgbClr val="FFFFFF">
                <a:alpha val="1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adlines" id="{3841520A-25F2-4EB8-BE4C-611DB5ABEED9}" vid="{ECD25A4C-D97E-4C12-84B1-63580BFFAEE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1989eb-7121-409c-871c-8f2366272918">
      <Terms xmlns="http://schemas.microsoft.com/office/infopath/2007/PartnerControls"/>
    </lcf76f155ced4ddcb4097134ff3c332f>
    <TaxCatchAll xmlns="a5bf85ab-5b89-45d5-812d-d881043611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BBF6E9189954BA0FDCD563682A98B" ma:contentTypeVersion="17" ma:contentTypeDescription="Create a new document." ma:contentTypeScope="" ma:versionID="6bb6009f22ffc1a7cbc857865d5db9d0">
  <xsd:schema xmlns:xsd="http://www.w3.org/2001/XMLSchema" xmlns:xs="http://www.w3.org/2001/XMLSchema" xmlns:p="http://schemas.microsoft.com/office/2006/metadata/properties" xmlns:ns2="731989eb-7121-409c-871c-8f2366272918" xmlns:ns3="a5bf85ab-5b89-45d5-812d-d881043611a5" targetNamespace="http://schemas.microsoft.com/office/2006/metadata/properties" ma:root="true" ma:fieldsID="5a48224a9c9b262e19af99e57689abe6" ns2:_="" ns3:_="">
    <xsd:import namespace="731989eb-7121-409c-871c-8f2366272918"/>
    <xsd:import namespace="a5bf85ab-5b89-45d5-812d-d88104361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989eb-7121-409c-871c-8f2366272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367377-cea2-4f59-9866-8491a8f07a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f85ab-5b89-45d5-812d-d881043611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18993d-1d16-43cf-b63c-2f328976747f}" ma:internalName="TaxCatchAll" ma:showField="CatchAllData" ma:web="a5bf85ab-5b89-45d5-812d-d88104361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9A0B94-43A2-42C2-A536-1A4FC2FC1686}">
  <ds:schemaRefs>
    <ds:schemaRef ds:uri="http://schemas.microsoft.com/office/2006/metadata/properties"/>
    <ds:schemaRef ds:uri="http://schemas.microsoft.com/office/infopath/2007/PartnerControls"/>
    <ds:schemaRef ds:uri="731989eb-7121-409c-871c-8f2366272918"/>
    <ds:schemaRef ds:uri="a5bf85ab-5b89-45d5-812d-d881043611a5"/>
  </ds:schemaRefs>
</ds:datastoreItem>
</file>

<file path=customXml/itemProps2.xml><?xml version="1.0" encoding="utf-8"?>
<ds:datastoreItem xmlns:ds="http://schemas.openxmlformats.org/officeDocument/2006/customXml" ds:itemID="{5B29034B-A3A0-4403-B07B-5F8ADB676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EA8E3B-D4FE-46B9-BF1B-2976EAE30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989eb-7121-409c-871c-8f2366272918"/>
    <ds:schemaRef ds:uri="a5bf85ab-5b89-45d5-812d-d88104361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A70524-89B8-7A4A-85EA-869D6E49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27238_GSK_A4_Letterhead_MS_Word_template_Updates02</Template>
  <TotalTime>2275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Basic Template</vt:lpstr>
    </vt:vector>
  </TitlesOfParts>
  <Manager/>
  <Company>GSK</Company>
  <LinksUpToDate>false</LinksUpToDate>
  <CharactersWithSpaces>5965</CharactersWithSpaces>
  <SharedDoc>false</SharedDoc>
  <HyperlinkBase/>
  <HLinks>
    <vt:vector size="24" baseType="variant">
      <vt:variant>
        <vt:i4>4063322</vt:i4>
      </vt:variant>
      <vt:variant>
        <vt:i4>9</vt:i4>
      </vt:variant>
      <vt:variant>
        <vt:i4>0</vt:i4>
      </vt:variant>
      <vt:variant>
        <vt:i4>5</vt:i4>
      </vt:variant>
      <vt:variant>
        <vt:lpwstr>mailto:david.w.fitz-gerald@gsk.com</vt:lpwstr>
      </vt:variant>
      <vt:variant>
        <vt:lpwstr/>
      </vt:variant>
      <vt:variant>
        <vt:i4>4063322</vt:i4>
      </vt:variant>
      <vt:variant>
        <vt:i4>6</vt:i4>
      </vt:variant>
      <vt:variant>
        <vt:i4>0</vt:i4>
      </vt:variant>
      <vt:variant>
        <vt:i4>5</vt:i4>
      </vt:variant>
      <vt:variant>
        <vt:lpwstr>mailto:david.w.fitz-gerald@gsk.com</vt:lpwstr>
      </vt:variant>
      <vt:variant>
        <vt:lpwstr/>
      </vt:variant>
      <vt:variant>
        <vt:i4>4063322</vt:i4>
      </vt:variant>
      <vt:variant>
        <vt:i4>3</vt:i4>
      </vt:variant>
      <vt:variant>
        <vt:i4>0</vt:i4>
      </vt:variant>
      <vt:variant>
        <vt:i4>5</vt:i4>
      </vt:variant>
      <vt:variant>
        <vt:lpwstr>mailto:david.w.fitz-gerald@gsk.com</vt:lpwstr>
      </vt:variant>
      <vt:variant>
        <vt:lpwstr/>
      </vt:variant>
      <vt:variant>
        <vt:i4>4063322</vt:i4>
      </vt:variant>
      <vt:variant>
        <vt:i4>0</vt:i4>
      </vt:variant>
      <vt:variant>
        <vt:i4>0</vt:i4>
      </vt:variant>
      <vt:variant>
        <vt:i4>5</vt:i4>
      </vt:variant>
      <vt:variant>
        <vt:lpwstr>mailto:david.w.fitz-gerald@gsk.com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Basic Template</dc:title>
  <dc:subject/>
  <dc:creator>Phillipa Proctor</dc:creator>
  <cp:keywords/>
  <dc:description/>
  <cp:lastModifiedBy>Amor Wei</cp:lastModifiedBy>
  <cp:revision>106</cp:revision>
  <cp:lastPrinted>2024-02-25T22:47:00Z</cp:lastPrinted>
  <dcterms:created xsi:type="dcterms:W3CDTF">2024-02-19T04:14:00Z</dcterms:created>
  <dcterms:modified xsi:type="dcterms:W3CDTF">2024-02-26T04:02:00Z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0x010100A0FBBF6E9189954BA0FDCD563682A98B</vt:lpwstr>
  </property>
  <property fmtid="{D5CDD505-2E9C-101B-9397-08002B2CF9AE}" pid="3" name="MediaServiceImageTags">
    <vt:lpwstr/>
  </property>
</Properties>
</file>